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419" w14:textId="76F4E66F" w:rsidR="00D272BD" w:rsidRPr="00D272BD" w:rsidRDefault="007325E1" w:rsidP="7868CEFD">
      <w:pPr>
        <w:pStyle w:val="Title"/>
        <w:rPr>
          <w:rFonts w:asciiTheme="minorHAnsi" w:hAnsiTheme="minorHAnsi"/>
          <w:sz w:val="36"/>
          <w:szCs w:val="36"/>
        </w:rPr>
      </w:pPr>
      <w:r w:rsidRPr="007325E1">
        <w:rPr>
          <w:rFonts w:asciiTheme="minorHAnsi" w:hAnsiTheme="minorHAnsi"/>
          <w:sz w:val="36"/>
          <w:szCs w:val="36"/>
        </w:rPr>
        <w:t xml:space="preserve">Desarrollo de una </w:t>
      </w:r>
      <w:r>
        <w:rPr>
          <w:rFonts w:asciiTheme="minorHAnsi" w:hAnsiTheme="minorHAnsi"/>
          <w:sz w:val="36"/>
          <w:szCs w:val="36"/>
        </w:rPr>
        <w:t>E</w:t>
      </w:r>
      <w:r w:rsidRPr="007325E1">
        <w:rPr>
          <w:rFonts w:asciiTheme="minorHAnsi" w:hAnsiTheme="minorHAnsi"/>
          <w:sz w:val="36"/>
          <w:szCs w:val="36"/>
        </w:rPr>
        <w:t xml:space="preserve">valuación de </w:t>
      </w:r>
      <w:r>
        <w:rPr>
          <w:rFonts w:asciiTheme="minorHAnsi" w:hAnsiTheme="minorHAnsi"/>
          <w:sz w:val="36"/>
          <w:szCs w:val="36"/>
        </w:rPr>
        <w:t>D</w:t>
      </w:r>
      <w:r w:rsidRPr="007325E1">
        <w:rPr>
          <w:rFonts w:asciiTheme="minorHAnsi" w:hAnsiTheme="minorHAnsi"/>
          <w:sz w:val="36"/>
          <w:szCs w:val="36"/>
        </w:rPr>
        <w:t xml:space="preserve">eficiencias a </w:t>
      </w:r>
      <w:r>
        <w:rPr>
          <w:rFonts w:asciiTheme="minorHAnsi" w:hAnsiTheme="minorHAnsi"/>
          <w:sz w:val="36"/>
          <w:szCs w:val="36"/>
        </w:rPr>
        <w:t>N</w:t>
      </w:r>
      <w:r w:rsidRPr="007325E1">
        <w:rPr>
          <w:rFonts w:asciiTheme="minorHAnsi" w:hAnsiTheme="minorHAnsi"/>
          <w:sz w:val="36"/>
          <w:szCs w:val="36"/>
        </w:rPr>
        <w:t xml:space="preserve">ivel </w:t>
      </w:r>
      <w:r>
        <w:rPr>
          <w:rFonts w:asciiTheme="minorHAnsi" w:hAnsiTheme="minorHAnsi"/>
          <w:sz w:val="36"/>
          <w:szCs w:val="36"/>
        </w:rPr>
        <w:t>E</w:t>
      </w:r>
      <w:r w:rsidRPr="007325E1">
        <w:rPr>
          <w:rFonts w:asciiTheme="minorHAnsi" w:hAnsiTheme="minorHAnsi"/>
          <w:sz w:val="36"/>
          <w:szCs w:val="36"/>
        </w:rPr>
        <w:t xml:space="preserve">statal para los </w:t>
      </w:r>
      <w:r>
        <w:rPr>
          <w:rFonts w:asciiTheme="minorHAnsi" w:hAnsiTheme="minorHAnsi"/>
          <w:sz w:val="36"/>
          <w:szCs w:val="36"/>
        </w:rPr>
        <w:t>S</w:t>
      </w:r>
      <w:r w:rsidRPr="007325E1">
        <w:rPr>
          <w:rFonts w:asciiTheme="minorHAnsi" w:hAnsiTheme="minorHAnsi"/>
          <w:sz w:val="36"/>
          <w:szCs w:val="36"/>
        </w:rPr>
        <w:t xml:space="preserve">istemas de </w:t>
      </w:r>
      <w:r>
        <w:rPr>
          <w:rFonts w:asciiTheme="minorHAnsi" w:hAnsiTheme="minorHAnsi"/>
          <w:sz w:val="36"/>
          <w:szCs w:val="36"/>
        </w:rPr>
        <w:t>A</w:t>
      </w:r>
      <w:r w:rsidRPr="007325E1">
        <w:rPr>
          <w:rFonts w:asciiTheme="minorHAnsi" w:hAnsiTheme="minorHAnsi"/>
          <w:sz w:val="36"/>
          <w:szCs w:val="36"/>
        </w:rPr>
        <w:t xml:space="preserve">guas </w:t>
      </w:r>
      <w:r>
        <w:rPr>
          <w:rFonts w:asciiTheme="minorHAnsi" w:hAnsiTheme="minorHAnsi"/>
          <w:sz w:val="36"/>
          <w:szCs w:val="36"/>
        </w:rPr>
        <w:t>R</w:t>
      </w:r>
      <w:r w:rsidRPr="007325E1">
        <w:rPr>
          <w:rFonts w:asciiTheme="minorHAnsi" w:hAnsiTheme="minorHAnsi"/>
          <w:sz w:val="36"/>
          <w:szCs w:val="36"/>
        </w:rPr>
        <w:t>esiduales de California</w:t>
      </w:r>
    </w:p>
    <w:p w14:paraId="4D18229D" w14:textId="6EE881D5" w:rsidR="00D272BD" w:rsidRPr="00D272BD" w:rsidRDefault="007325E1" w:rsidP="00D272BD">
      <w:r>
        <w:t>RESUMEN EJECUTIVO</w:t>
      </w:r>
      <w:r w:rsidR="00FB28A2">
        <w:t xml:space="preserve"> </w:t>
      </w:r>
    </w:p>
    <w:p w14:paraId="31F4D194" w14:textId="77777777" w:rsidR="00D272BD" w:rsidRPr="00D272BD" w:rsidRDefault="00D272BD" w:rsidP="00D272BD"/>
    <w:p w14:paraId="1818EDDD" w14:textId="39EC8193" w:rsidR="00D272BD" w:rsidRPr="00D272BD" w:rsidRDefault="006765A2" w:rsidP="00D272BD">
      <w:pPr>
        <w:rPr>
          <w:u w:val="single"/>
        </w:rPr>
      </w:pPr>
      <w:r>
        <w:rPr>
          <w:u w:val="single"/>
        </w:rPr>
        <w:br w:type="page"/>
      </w:r>
    </w:p>
    <w:p w14:paraId="0F69FBA0" w14:textId="69C0B6C1" w:rsidR="00D272BD" w:rsidRPr="00D272BD" w:rsidRDefault="007325E1" w:rsidP="00D272BD">
      <w:pPr>
        <w:pStyle w:val="Title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lastRenderedPageBreak/>
        <w:t>RESUMEN EJECUTIVO</w:t>
      </w:r>
    </w:p>
    <w:p w14:paraId="3B8A9FBD" w14:textId="381468D4" w:rsidR="00D272BD" w:rsidRPr="00A52FE0" w:rsidRDefault="00937BEA" w:rsidP="00D272BD">
      <w:pPr>
        <w:rPr>
          <w:sz w:val="22"/>
          <w:szCs w:val="22"/>
        </w:rPr>
      </w:pPr>
      <w:r w:rsidRPr="00937BEA">
        <w:rPr>
          <w:sz w:val="22"/>
          <w:szCs w:val="22"/>
        </w:rPr>
        <w:t>La evaluación de insuficiencia es el primer paso cuantitativo de la evaluación más amplia de las necesidades de aguas residuales (WWNA), como se estipula en la fase 1D del contrato.</w:t>
      </w:r>
      <w:r w:rsidR="00D272BD" w:rsidRPr="00A52FE0">
        <w:rPr>
          <w:sz w:val="22"/>
          <w:szCs w:val="22"/>
        </w:rPr>
        <w:t xml:space="preserve"> </w:t>
      </w:r>
      <w:r w:rsidRPr="00937BEA">
        <w:rPr>
          <w:sz w:val="22"/>
          <w:szCs w:val="22"/>
        </w:rPr>
        <w:t>Tres evaluaciones de insuficiencia separadas cubrirán las instalaciones o sistemas permitidos por el</w:t>
      </w:r>
      <w:r>
        <w:rPr>
          <w:sz w:val="22"/>
          <w:szCs w:val="22"/>
        </w:rPr>
        <w:t xml:space="preserve"> </w:t>
      </w:r>
      <w:r w:rsidR="004611D6">
        <w:rPr>
          <w:sz w:val="22"/>
          <w:szCs w:val="22"/>
        </w:rPr>
        <w:t>National</w:t>
      </w:r>
      <w:r w:rsidR="0027478C">
        <w:rPr>
          <w:sz w:val="22"/>
          <w:szCs w:val="22"/>
        </w:rPr>
        <w:t xml:space="preserve"> </w:t>
      </w:r>
      <w:r w:rsidR="00A52FE0" w:rsidRPr="00A52FE0">
        <w:rPr>
          <w:sz w:val="22"/>
          <w:szCs w:val="22"/>
        </w:rPr>
        <w:t>P</w:t>
      </w:r>
      <w:r w:rsidR="0027478C">
        <w:rPr>
          <w:sz w:val="22"/>
          <w:szCs w:val="22"/>
        </w:rPr>
        <w:t xml:space="preserve">ollutant </w:t>
      </w:r>
      <w:r w:rsidR="00A52FE0" w:rsidRPr="00A52FE0">
        <w:rPr>
          <w:sz w:val="22"/>
          <w:szCs w:val="22"/>
        </w:rPr>
        <w:t>D</w:t>
      </w:r>
      <w:r w:rsidR="0027478C">
        <w:rPr>
          <w:sz w:val="22"/>
          <w:szCs w:val="22"/>
        </w:rPr>
        <w:t xml:space="preserve">ischarge </w:t>
      </w:r>
      <w:r w:rsidR="00A52FE0" w:rsidRPr="00A52FE0">
        <w:rPr>
          <w:sz w:val="22"/>
          <w:szCs w:val="22"/>
        </w:rPr>
        <w:t>E</w:t>
      </w:r>
      <w:r w:rsidR="00880383">
        <w:rPr>
          <w:sz w:val="22"/>
          <w:szCs w:val="22"/>
        </w:rPr>
        <w:t xml:space="preserve">limination </w:t>
      </w:r>
      <w:r w:rsidR="00A52FE0" w:rsidRPr="00A52FE0">
        <w:rPr>
          <w:sz w:val="22"/>
          <w:szCs w:val="22"/>
        </w:rPr>
        <w:t>S</w:t>
      </w:r>
      <w:r w:rsidR="00880383">
        <w:rPr>
          <w:sz w:val="22"/>
          <w:szCs w:val="22"/>
        </w:rPr>
        <w:t>ystem (NPDES)</w:t>
      </w:r>
      <w:r w:rsidR="00A52FE0" w:rsidRPr="00A52FE0">
        <w:rPr>
          <w:sz w:val="22"/>
          <w:szCs w:val="22"/>
        </w:rPr>
        <w:t>, W</w:t>
      </w:r>
      <w:r w:rsidR="00880383">
        <w:rPr>
          <w:sz w:val="22"/>
          <w:szCs w:val="22"/>
        </w:rPr>
        <w:t xml:space="preserve">aste </w:t>
      </w:r>
      <w:r w:rsidR="00A52FE0" w:rsidRPr="00A52FE0">
        <w:rPr>
          <w:sz w:val="22"/>
          <w:szCs w:val="22"/>
        </w:rPr>
        <w:t>D</w:t>
      </w:r>
      <w:r w:rsidR="00880383">
        <w:rPr>
          <w:sz w:val="22"/>
          <w:szCs w:val="22"/>
        </w:rPr>
        <w:t xml:space="preserve">ischarge </w:t>
      </w:r>
      <w:r w:rsidR="00A52FE0" w:rsidRPr="00A52FE0">
        <w:rPr>
          <w:sz w:val="22"/>
          <w:szCs w:val="22"/>
        </w:rPr>
        <w:t>R</w:t>
      </w:r>
      <w:r w:rsidR="00880383">
        <w:rPr>
          <w:sz w:val="22"/>
          <w:szCs w:val="22"/>
        </w:rPr>
        <w:t>ule (WDR)</w:t>
      </w:r>
      <w:r w:rsidR="00A52FE0" w:rsidRPr="00A52FE0">
        <w:rPr>
          <w:sz w:val="22"/>
          <w:szCs w:val="22"/>
        </w:rPr>
        <w:t xml:space="preserve">, </w:t>
      </w:r>
      <w:r>
        <w:rPr>
          <w:sz w:val="22"/>
          <w:szCs w:val="22"/>
        </w:rPr>
        <w:t>y</w:t>
      </w:r>
      <w:r w:rsidR="00A52FE0" w:rsidRPr="00A52FE0">
        <w:rPr>
          <w:sz w:val="22"/>
          <w:szCs w:val="22"/>
        </w:rPr>
        <w:t xml:space="preserve"> S</w:t>
      </w:r>
      <w:r w:rsidR="00880383">
        <w:rPr>
          <w:sz w:val="22"/>
          <w:szCs w:val="22"/>
        </w:rPr>
        <w:t xml:space="preserve">anitary </w:t>
      </w:r>
      <w:r w:rsidR="00A52FE0" w:rsidRPr="00A52FE0">
        <w:rPr>
          <w:sz w:val="22"/>
          <w:szCs w:val="22"/>
        </w:rPr>
        <w:t>S</w:t>
      </w:r>
      <w:r w:rsidR="00880383">
        <w:rPr>
          <w:sz w:val="22"/>
          <w:szCs w:val="22"/>
        </w:rPr>
        <w:t xml:space="preserve">ewer </w:t>
      </w:r>
      <w:r w:rsidR="00A52FE0" w:rsidRPr="00A52FE0">
        <w:rPr>
          <w:sz w:val="22"/>
          <w:szCs w:val="22"/>
        </w:rPr>
        <w:t>O</w:t>
      </w:r>
      <w:r w:rsidR="00880383">
        <w:rPr>
          <w:sz w:val="22"/>
          <w:szCs w:val="22"/>
        </w:rPr>
        <w:t>verflow (SSO)</w:t>
      </w:r>
      <w:r w:rsidR="00A52FE0" w:rsidRPr="00A52FE0">
        <w:rPr>
          <w:sz w:val="22"/>
          <w:szCs w:val="22"/>
        </w:rPr>
        <w:t xml:space="preserve"> </w:t>
      </w:r>
      <w:r w:rsidRPr="00937BEA">
        <w:rPr>
          <w:sz w:val="22"/>
          <w:szCs w:val="22"/>
        </w:rPr>
        <w:t>que cumplan con los criterios</w:t>
      </w:r>
      <w:r w:rsidR="00FC20AD">
        <w:rPr>
          <w:rStyle w:val="FootnoteReference"/>
          <w:sz w:val="22"/>
          <w:szCs w:val="22"/>
        </w:rPr>
        <w:footnoteReference w:id="1"/>
      </w:r>
      <w:r w:rsidR="00FC20AD">
        <w:rPr>
          <w:sz w:val="22"/>
          <w:szCs w:val="22"/>
        </w:rPr>
        <w:t xml:space="preserve"> </w:t>
      </w:r>
      <w:r w:rsidRPr="00937BEA">
        <w:rPr>
          <w:sz w:val="22"/>
          <w:szCs w:val="22"/>
        </w:rPr>
        <w:t>de inclusión para la WWNA</w:t>
      </w:r>
      <w:r w:rsidR="00D272BD" w:rsidRPr="00A52FE0">
        <w:rPr>
          <w:sz w:val="22"/>
          <w:szCs w:val="22"/>
        </w:rPr>
        <w:t xml:space="preserve">. </w:t>
      </w:r>
      <w:r w:rsidRPr="00937BEA">
        <w:rPr>
          <w:sz w:val="22"/>
          <w:szCs w:val="22"/>
        </w:rPr>
        <w:t>Este Resumen Ejecutivo presenta los tipos de violaciones y órdenes de ejecución que se propone incluir en cada Evaluación de Insuficiencia.</w:t>
      </w:r>
      <w:r w:rsidR="007C023B">
        <w:rPr>
          <w:sz w:val="22"/>
          <w:szCs w:val="22"/>
        </w:rPr>
        <w:t xml:space="preserve"> </w:t>
      </w:r>
    </w:p>
    <w:p w14:paraId="20E8E023" w14:textId="2A5A5731" w:rsidR="004611D6" w:rsidRDefault="00CB1D3D" w:rsidP="7868CEFD">
      <w:pPr>
        <w:tabs>
          <w:tab w:val="num" w:pos="720"/>
        </w:tabs>
        <w:rPr>
          <w:sz w:val="22"/>
          <w:szCs w:val="22"/>
        </w:rPr>
      </w:pPr>
      <w:r w:rsidRPr="00CB1D3D">
        <w:rPr>
          <w:sz w:val="22"/>
          <w:szCs w:val="22"/>
        </w:rPr>
        <w:t xml:space="preserve">La </w:t>
      </w:r>
      <w:r>
        <w:rPr>
          <w:sz w:val="22"/>
          <w:szCs w:val="22"/>
        </w:rPr>
        <w:t>E</w:t>
      </w:r>
      <w:r w:rsidRPr="00CB1D3D">
        <w:rPr>
          <w:sz w:val="22"/>
          <w:szCs w:val="22"/>
        </w:rPr>
        <w:t xml:space="preserve">valuación de </w:t>
      </w:r>
      <w:r>
        <w:rPr>
          <w:sz w:val="22"/>
          <w:szCs w:val="22"/>
        </w:rPr>
        <w:t>I</w:t>
      </w:r>
      <w:r w:rsidRPr="00CB1D3D">
        <w:rPr>
          <w:sz w:val="22"/>
          <w:szCs w:val="22"/>
        </w:rPr>
        <w:t>nsuficiencia tiene como objetivo identificar los sistemas de tratamiento y recolección de aguas residuales que tratan y eliminan inadecuadamente las aguas residuales, lo que provoca la degradación del medio ambiente, el sistema y la salud pública.</w:t>
      </w:r>
      <w:r>
        <w:rPr>
          <w:sz w:val="22"/>
          <w:szCs w:val="22"/>
        </w:rPr>
        <w:t xml:space="preserve"> </w:t>
      </w:r>
      <w:r w:rsidR="003016DD" w:rsidRPr="003016DD">
        <w:rPr>
          <w:sz w:val="22"/>
          <w:szCs w:val="22"/>
        </w:rPr>
        <w:t>Con base en los aportes del personal de la Junta de</w:t>
      </w:r>
      <w:r w:rsidR="003016DD">
        <w:rPr>
          <w:sz w:val="22"/>
          <w:szCs w:val="22"/>
        </w:rPr>
        <w:t>l</w:t>
      </w:r>
      <w:r w:rsidR="003016DD" w:rsidRPr="003016DD">
        <w:rPr>
          <w:sz w:val="22"/>
          <w:szCs w:val="22"/>
        </w:rPr>
        <w:t xml:space="preserve"> Agua y del equipo de contratistas de WWNA, definimos los sistemas inadecuados como aquellos que no cumplen de manera significativa con las regulaciones estatales y federales existentes sobre aguas residuales, en paralelo con los sistemas “fallidos” de la Evaluación de las </w:t>
      </w:r>
      <w:r w:rsidR="00196EC5">
        <w:rPr>
          <w:sz w:val="22"/>
          <w:szCs w:val="22"/>
        </w:rPr>
        <w:t>N</w:t>
      </w:r>
      <w:r w:rsidR="003016DD" w:rsidRPr="003016DD">
        <w:rPr>
          <w:sz w:val="22"/>
          <w:szCs w:val="22"/>
        </w:rPr>
        <w:t xml:space="preserve">ecesidades de </w:t>
      </w:r>
      <w:r w:rsidR="00196EC5">
        <w:rPr>
          <w:sz w:val="22"/>
          <w:szCs w:val="22"/>
        </w:rPr>
        <w:t>A</w:t>
      </w:r>
      <w:r w:rsidR="003016DD" w:rsidRPr="003016DD">
        <w:rPr>
          <w:sz w:val="22"/>
          <w:szCs w:val="22"/>
        </w:rPr>
        <w:t xml:space="preserve">gua </w:t>
      </w:r>
      <w:r w:rsidR="00196EC5">
        <w:rPr>
          <w:sz w:val="22"/>
          <w:szCs w:val="22"/>
        </w:rPr>
        <w:t>P</w:t>
      </w:r>
      <w:r w:rsidR="003016DD" w:rsidRPr="003016DD">
        <w:rPr>
          <w:sz w:val="22"/>
          <w:szCs w:val="22"/>
        </w:rPr>
        <w:t xml:space="preserve">otable de la </w:t>
      </w:r>
      <w:r w:rsidR="00196EC5">
        <w:rPr>
          <w:sz w:val="22"/>
          <w:szCs w:val="22"/>
        </w:rPr>
        <w:t>J</w:t>
      </w:r>
      <w:r w:rsidR="003016DD" w:rsidRPr="003016DD">
        <w:rPr>
          <w:sz w:val="22"/>
          <w:szCs w:val="22"/>
        </w:rPr>
        <w:t>unta.</w:t>
      </w:r>
      <w:r w:rsidR="7868CEFD" w:rsidRPr="7868CEFD">
        <w:rPr>
          <w:sz w:val="22"/>
          <w:szCs w:val="22"/>
        </w:rPr>
        <w:t xml:space="preserve"> </w:t>
      </w:r>
      <w:r w:rsidR="005953DC" w:rsidRPr="005953DC">
        <w:rPr>
          <w:sz w:val="22"/>
          <w:szCs w:val="22"/>
        </w:rPr>
        <w:t>La insuficiencia puede reflejar deficiencias infraestructurales y operativas, dando lugar a infracciones y órdenes de ejecución.</w:t>
      </w:r>
      <w:r w:rsidR="7868CEFD" w:rsidRPr="7868CEFD">
        <w:rPr>
          <w:sz w:val="22"/>
          <w:szCs w:val="22"/>
        </w:rPr>
        <w:t xml:space="preserve"> </w:t>
      </w:r>
      <w:r w:rsidR="005953DC" w:rsidRPr="005953DC">
        <w:rPr>
          <w:sz w:val="22"/>
          <w:szCs w:val="22"/>
        </w:rPr>
        <w:t xml:space="preserve">Las infracciones son emitidas por la Junta Estatal de Control de Recursos </w:t>
      </w:r>
      <w:r w:rsidR="005953DC">
        <w:rPr>
          <w:sz w:val="22"/>
          <w:szCs w:val="22"/>
        </w:rPr>
        <w:t>del Agua</w:t>
      </w:r>
      <w:r w:rsidR="005953DC" w:rsidRPr="005953DC">
        <w:rPr>
          <w:sz w:val="22"/>
          <w:szCs w:val="22"/>
        </w:rPr>
        <w:t xml:space="preserve"> y las Juntas Regionales de Control de Calidad del Agua (las Juntas del Agua) y ocurren cuando el sistema no cumple con las regulaciones estatales o federales sobre aguas residuales.</w:t>
      </w:r>
      <w:r w:rsidR="00446647">
        <w:rPr>
          <w:sz w:val="22"/>
          <w:szCs w:val="22"/>
        </w:rPr>
        <w:t xml:space="preserve"> </w:t>
      </w:r>
      <w:r w:rsidR="0010345A" w:rsidRPr="0010345A">
        <w:rPr>
          <w:sz w:val="22"/>
          <w:szCs w:val="22"/>
        </w:rPr>
        <w:t>Las Juntas de</w:t>
      </w:r>
      <w:r w:rsidR="0010345A">
        <w:rPr>
          <w:sz w:val="22"/>
          <w:szCs w:val="22"/>
        </w:rPr>
        <w:t>l</w:t>
      </w:r>
      <w:r w:rsidR="0010345A" w:rsidRPr="0010345A">
        <w:rPr>
          <w:sz w:val="22"/>
          <w:szCs w:val="22"/>
        </w:rPr>
        <w:t xml:space="preserve"> Agua emiten órdenes de cumplimiento en respuesta a violaciones no resueltas que pueden requerir medidas correctivas.</w:t>
      </w:r>
    </w:p>
    <w:p w14:paraId="7799D32E" w14:textId="75D9F89F" w:rsidR="00D272BD" w:rsidRPr="007C4B44" w:rsidRDefault="0010345A" w:rsidP="7868CEFD">
      <w:pPr>
        <w:tabs>
          <w:tab w:val="num" w:pos="720"/>
        </w:tabs>
        <w:rPr>
          <w:sz w:val="22"/>
          <w:szCs w:val="22"/>
        </w:rPr>
      </w:pPr>
      <w:r w:rsidRPr="0010345A">
        <w:rPr>
          <w:sz w:val="22"/>
          <w:szCs w:val="22"/>
        </w:rPr>
        <w:t>La identificación de sistemas de aguas residuales inadecuados ayudará a las Juntas de</w:t>
      </w:r>
      <w:r>
        <w:rPr>
          <w:sz w:val="22"/>
          <w:szCs w:val="22"/>
        </w:rPr>
        <w:t>l</w:t>
      </w:r>
      <w:r w:rsidRPr="0010345A">
        <w:rPr>
          <w:sz w:val="22"/>
          <w:szCs w:val="22"/>
        </w:rPr>
        <w:t xml:space="preserve"> Agua a orientar la asistencia técnica y la financiación hacia los sistemas que más necesitan apoyo.</w:t>
      </w:r>
      <w:r w:rsidR="00D16AA7">
        <w:rPr>
          <w:sz w:val="22"/>
          <w:szCs w:val="22"/>
        </w:rPr>
        <w:t xml:space="preserve"> </w:t>
      </w:r>
      <w:r w:rsidRPr="0010345A">
        <w:rPr>
          <w:sz w:val="22"/>
          <w:szCs w:val="22"/>
        </w:rPr>
        <w:t>Esto ayudará a que los sistemas vuelvan a cumplir con las regulaciones, evitando una mayor degradación del medio ambiente, el sistema y la comunidad.</w:t>
      </w:r>
    </w:p>
    <w:p w14:paraId="2B296D0B" w14:textId="614D6EC9" w:rsidR="00D272BD" w:rsidRDefault="0010345A" w:rsidP="00D272BD">
      <w:pPr>
        <w:rPr>
          <w:sz w:val="22"/>
          <w:szCs w:val="22"/>
        </w:rPr>
      </w:pPr>
      <w:r w:rsidRPr="0010345A">
        <w:rPr>
          <w:sz w:val="22"/>
          <w:szCs w:val="22"/>
        </w:rPr>
        <w:t>La evaluación de insuficiencia no evaluará los sistemas de tratamiento de aguas residuales en el sitio (</w:t>
      </w:r>
      <w:r w:rsidRPr="3811752B">
        <w:rPr>
          <w:sz w:val="22"/>
          <w:szCs w:val="22"/>
        </w:rPr>
        <w:t>Onsite Wastewater Treatment Systems</w:t>
      </w:r>
      <w:r>
        <w:rPr>
          <w:sz w:val="22"/>
          <w:szCs w:val="22"/>
        </w:rPr>
        <w:t xml:space="preserve">, </w:t>
      </w:r>
      <w:r w:rsidRPr="0010345A">
        <w:rPr>
          <w:sz w:val="22"/>
          <w:szCs w:val="22"/>
        </w:rPr>
        <w:t>OWTS)</w:t>
      </w:r>
      <w:r>
        <w:rPr>
          <w:sz w:val="22"/>
          <w:szCs w:val="22"/>
        </w:rPr>
        <w:t>.</w:t>
      </w:r>
      <w:r w:rsidR="00E70B99">
        <w:rPr>
          <w:sz w:val="22"/>
          <w:szCs w:val="22"/>
        </w:rPr>
        <w:t xml:space="preserve"> </w:t>
      </w:r>
      <w:r w:rsidR="00FE36F0" w:rsidRPr="00FE36F0">
        <w:rPr>
          <w:sz w:val="22"/>
          <w:szCs w:val="22"/>
        </w:rPr>
        <w:t>Sin embargo, se incluirá en la WWNA otra evaluación centrada en áreas atendidas principalmente por OWTS y se discutirá en una futura reunión del Grupo Asesor.</w:t>
      </w:r>
    </w:p>
    <w:p w14:paraId="01CEE7FD" w14:textId="0BEB5736" w:rsidR="00480B04" w:rsidRPr="0069337B" w:rsidRDefault="00FE36F0" w:rsidP="00480B04">
      <w:pPr>
        <w:rPr>
          <w:b/>
          <w:bCs/>
          <w:sz w:val="22"/>
          <w:szCs w:val="22"/>
        </w:rPr>
      </w:pPr>
      <w:r w:rsidRPr="00FE36F0">
        <w:rPr>
          <w:b/>
          <w:bCs/>
          <w:sz w:val="22"/>
          <w:szCs w:val="22"/>
        </w:rPr>
        <w:t xml:space="preserve">Desarrollo de </w:t>
      </w:r>
      <w:r>
        <w:rPr>
          <w:b/>
          <w:bCs/>
          <w:sz w:val="22"/>
          <w:szCs w:val="22"/>
        </w:rPr>
        <w:t>C</w:t>
      </w:r>
      <w:r w:rsidRPr="00FE36F0">
        <w:rPr>
          <w:b/>
          <w:bCs/>
          <w:sz w:val="22"/>
          <w:szCs w:val="22"/>
        </w:rPr>
        <w:t xml:space="preserve">riterios de </w:t>
      </w:r>
      <w:r>
        <w:rPr>
          <w:b/>
          <w:bCs/>
          <w:sz w:val="22"/>
          <w:szCs w:val="22"/>
        </w:rPr>
        <w:t>I</w:t>
      </w:r>
      <w:r w:rsidRPr="00FE36F0">
        <w:rPr>
          <w:b/>
          <w:bCs/>
          <w:sz w:val="22"/>
          <w:szCs w:val="22"/>
        </w:rPr>
        <w:t>nadecuación</w:t>
      </w:r>
    </w:p>
    <w:p w14:paraId="010D99B8" w14:textId="20125709" w:rsidR="00480B04" w:rsidRPr="00480B04" w:rsidRDefault="00FE36F0" w:rsidP="00D272BD">
      <w:pPr>
        <w:rPr>
          <w:sz w:val="22"/>
          <w:szCs w:val="22"/>
        </w:rPr>
      </w:pPr>
      <w:r w:rsidRPr="00FE36F0">
        <w:rPr>
          <w:sz w:val="22"/>
          <w:szCs w:val="22"/>
        </w:rPr>
        <w:t>Comenzamos a desarrollar los Criterios de Inadecuación en julio de 2024</w:t>
      </w:r>
      <w:r w:rsidR="00D16AA7">
        <w:rPr>
          <w:sz w:val="22"/>
          <w:szCs w:val="22"/>
        </w:rPr>
        <w:t xml:space="preserve">. </w:t>
      </w:r>
      <w:r w:rsidRPr="00FE36F0">
        <w:rPr>
          <w:sz w:val="22"/>
          <w:szCs w:val="22"/>
        </w:rPr>
        <w:t>Poco después, establecimos un Grupo de Trabajo de personal de Juntas de</w:t>
      </w:r>
      <w:r>
        <w:rPr>
          <w:sz w:val="22"/>
          <w:szCs w:val="22"/>
        </w:rPr>
        <w:t>l</w:t>
      </w:r>
      <w:r w:rsidRPr="00FE36F0">
        <w:rPr>
          <w:sz w:val="22"/>
          <w:szCs w:val="22"/>
        </w:rPr>
        <w:t xml:space="preserve"> Agua Estatales y Regionales con experiencia en informes, seguimiento y datos de cumplimiento y aplicación para los tres tipos de permisos.</w:t>
      </w:r>
      <w:r>
        <w:rPr>
          <w:sz w:val="22"/>
          <w:szCs w:val="22"/>
        </w:rPr>
        <w:t xml:space="preserve"> </w:t>
      </w:r>
      <w:r w:rsidRPr="00FE36F0">
        <w:rPr>
          <w:sz w:val="22"/>
          <w:szCs w:val="22"/>
        </w:rPr>
        <w:t>A través de una serie de reuniones y formularios de aportes, el personal de Juntas de</w:t>
      </w:r>
      <w:r>
        <w:rPr>
          <w:sz w:val="22"/>
          <w:szCs w:val="22"/>
        </w:rPr>
        <w:t>l</w:t>
      </w:r>
      <w:r w:rsidRPr="00FE36F0">
        <w:rPr>
          <w:sz w:val="22"/>
          <w:szCs w:val="22"/>
        </w:rPr>
        <w:t xml:space="preserve"> </w:t>
      </w:r>
      <w:r w:rsidRPr="00FE36F0">
        <w:rPr>
          <w:sz w:val="22"/>
          <w:szCs w:val="22"/>
        </w:rPr>
        <w:lastRenderedPageBreak/>
        <w:t>Agua nos ayudó a identificar las violaciones y órdenes de cumplimiento más relevantes para cada tipo de permiso y a explicar por qué algunas no deberían incluirse en los Criterios de Insuficiencia.</w:t>
      </w:r>
      <w:r w:rsidR="3811752B" w:rsidRPr="3811752B">
        <w:rPr>
          <w:sz w:val="22"/>
          <w:szCs w:val="22"/>
        </w:rPr>
        <w:t xml:space="preserve">. </w:t>
      </w:r>
      <w:r w:rsidRPr="00FE36F0">
        <w:rPr>
          <w:sz w:val="22"/>
          <w:szCs w:val="22"/>
        </w:rPr>
        <w:t>Planeamos seguir colaborando con este Grupo de Trabajo hasta 2025 mientras finalizamos los Criterios de Inadecuación.</w:t>
      </w:r>
      <w:r w:rsidR="3811752B" w:rsidRPr="3811752B">
        <w:rPr>
          <w:sz w:val="22"/>
          <w:szCs w:val="22"/>
        </w:rPr>
        <w:t xml:space="preserve"> </w:t>
      </w:r>
    </w:p>
    <w:p w14:paraId="75E01A57" w14:textId="77777777" w:rsidR="00266CD9" w:rsidRDefault="00266CD9" w:rsidP="00D272BD">
      <w:pPr>
        <w:rPr>
          <w:b/>
          <w:bCs/>
          <w:sz w:val="22"/>
          <w:szCs w:val="22"/>
        </w:rPr>
      </w:pPr>
    </w:p>
    <w:p w14:paraId="3FC41678" w14:textId="42F399AC" w:rsidR="00C82542" w:rsidRPr="00C82542" w:rsidRDefault="00056B39" w:rsidP="00D272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Evaluaciones por Tipo de</w:t>
      </w:r>
      <w:r w:rsidR="7868CEFD" w:rsidRPr="7868CEFD">
        <w:rPr>
          <w:b/>
          <w:bCs/>
          <w:sz w:val="22"/>
          <w:szCs w:val="22"/>
        </w:rPr>
        <w:t xml:space="preserve"> Permi</w:t>
      </w:r>
      <w:r>
        <w:rPr>
          <w:b/>
          <w:bCs/>
          <w:sz w:val="22"/>
          <w:szCs w:val="22"/>
        </w:rPr>
        <w:t>so</w:t>
      </w:r>
    </w:p>
    <w:p w14:paraId="40CB85DE" w14:textId="7ED678D4" w:rsidR="00C61075" w:rsidRDefault="00056B39" w:rsidP="00D272BD">
      <w:pPr>
        <w:rPr>
          <w:sz w:val="22"/>
          <w:szCs w:val="22"/>
        </w:rPr>
      </w:pPr>
      <w:r w:rsidRPr="00056B39">
        <w:rPr>
          <w:sz w:val="22"/>
          <w:szCs w:val="22"/>
        </w:rPr>
        <w:t>La evaluación de insuficiencia se llevará a cabo para aproximadamente 260 sistemas NPDES, 1000 WDR y 1000 SSO incluidos en la WWNA, y se evaluará su desempeño en los datos de violaciones y órdenes de ejecución.</w:t>
      </w:r>
      <w:r w:rsidR="00880383" w:rsidRPr="7868CEFD">
        <w:rPr>
          <w:sz w:val="22"/>
          <w:szCs w:val="22"/>
        </w:rPr>
        <w:t xml:space="preserve">— </w:t>
      </w:r>
      <w:r w:rsidR="7868CEFD" w:rsidRPr="7868CEFD">
        <w:rPr>
          <w:sz w:val="22"/>
          <w:szCs w:val="22"/>
        </w:rPr>
        <w:t xml:space="preserve">NPDES, WDR, </w:t>
      </w:r>
      <w:r>
        <w:rPr>
          <w:sz w:val="22"/>
          <w:szCs w:val="22"/>
        </w:rPr>
        <w:t>y</w:t>
      </w:r>
      <w:r w:rsidR="7868CEFD" w:rsidRPr="7868CEFD">
        <w:rPr>
          <w:sz w:val="22"/>
          <w:szCs w:val="22"/>
        </w:rPr>
        <w:t xml:space="preserve"> SSO</w:t>
      </w:r>
      <w:r w:rsidR="00880383">
        <w:rPr>
          <w:sz w:val="22"/>
          <w:szCs w:val="22"/>
        </w:rPr>
        <w:t xml:space="preserve"> </w:t>
      </w:r>
      <w:r w:rsidR="7868CEFD" w:rsidRPr="7868CEFD">
        <w:rPr>
          <w:sz w:val="22"/>
          <w:szCs w:val="22"/>
        </w:rPr>
        <w:t xml:space="preserve">— </w:t>
      </w:r>
      <w:r w:rsidRPr="00056B39">
        <w:rPr>
          <w:sz w:val="22"/>
          <w:szCs w:val="22"/>
        </w:rPr>
        <w:t>requiere diferentes criterios de insuficiencia para capturar con precisión sus diversas características</w:t>
      </w:r>
      <w:r w:rsidR="7868CEFD" w:rsidRPr="7868CEFD">
        <w:rPr>
          <w:sz w:val="22"/>
          <w:szCs w:val="22"/>
        </w:rPr>
        <w:t xml:space="preserve">. </w:t>
      </w:r>
    </w:p>
    <w:p w14:paraId="075F303B" w14:textId="54CAE136" w:rsidR="00B72EDB" w:rsidRPr="00B72EDB" w:rsidRDefault="006765A2" w:rsidP="00B72EDB">
      <w:pPr>
        <w:rPr>
          <w:sz w:val="22"/>
          <w:szCs w:val="22"/>
        </w:rPr>
      </w:pPr>
      <w:r w:rsidRPr="006765A2">
        <w:rPr>
          <w:b/>
          <w:bCs/>
          <w:sz w:val="22"/>
          <w:szCs w:val="22"/>
        </w:rPr>
        <w:t>NPDES</w:t>
      </w:r>
      <w:r>
        <w:rPr>
          <w:sz w:val="22"/>
          <w:szCs w:val="22"/>
        </w:rPr>
        <w:t xml:space="preserve">: </w:t>
      </w:r>
      <w:r w:rsidR="00056B39" w:rsidRPr="00056B39">
        <w:rPr>
          <w:sz w:val="22"/>
          <w:szCs w:val="22"/>
        </w:rPr>
        <w:t xml:space="preserve">Instalaciones o sistemas de aguas residuales regulados por la Ley de Agua Limpia de los EE. UU. </w:t>
      </w:r>
      <w:r w:rsidR="00B72EDB">
        <w:rPr>
          <w:sz w:val="22"/>
          <w:szCs w:val="22"/>
        </w:rPr>
        <w:t xml:space="preserve">(US Clean Water Act) </w:t>
      </w:r>
      <w:r w:rsidR="00056B39" w:rsidRPr="00056B39">
        <w:rPr>
          <w:sz w:val="22"/>
          <w:szCs w:val="22"/>
        </w:rPr>
        <w:t xml:space="preserve">que descargan en aguas superficiales como ríos, lagos y arroyos. </w:t>
      </w:r>
      <w:r w:rsidR="00B72EDB" w:rsidRPr="00B72EDB">
        <w:rPr>
          <w:sz w:val="22"/>
          <w:szCs w:val="22"/>
        </w:rPr>
        <w:t>Estos sistemas deben cumplir límites específicos de contaminantes en sus descargas y ser objeto de seguimiento e informes periódicos para garantizar el cumplimiento de las normas ambientales.</w:t>
      </w:r>
    </w:p>
    <w:p w14:paraId="4A32C2CC" w14:textId="0A0290AF" w:rsidR="00CF4DDC" w:rsidRDefault="7868CEFD" w:rsidP="00D272BD">
      <w:pPr>
        <w:rPr>
          <w:sz w:val="22"/>
          <w:szCs w:val="22"/>
        </w:rPr>
      </w:pPr>
      <w:r w:rsidRPr="7868CEFD">
        <w:rPr>
          <w:b/>
          <w:bCs/>
          <w:sz w:val="22"/>
          <w:szCs w:val="22"/>
        </w:rPr>
        <w:t>WDR</w:t>
      </w:r>
      <w:r w:rsidRPr="7868CEFD">
        <w:rPr>
          <w:sz w:val="22"/>
          <w:szCs w:val="22"/>
        </w:rPr>
        <w:t xml:space="preserve">: </w:t>
      </w:r>
      <w:r w:rsidR="00B72EDB" w:rsidRPr="00B72EDB">
        <w:rPr>
          <w:sz w:val="22"/>
          <w:szCs w:val="22"/>
        </w:rPr>
        <w:t>Instalaciones o sistemas de aguas residuales regulados por el Estado que descargan desechos al suelo</w:t>
      </w:r>
      <w:r w:rsidRPr="7868CEFD">
        <w:rPr>
          <w:sz w:val="22"/>
          <w:szCs w:val="22"/>
        </w:rPr>
        <w:t xml:space="preserve">. </w:t>
      </w:r>
      <w:r w:rsidR="00B72EDB" w:rsidRPr="00B72EDB">
        <w:rPr>
          <w:sz w:val="22"/>
          <w:szCs w:val="22"/>
        </w:rPr>
        <w:t>Se establecen límites específicos y se monitorean los sistemas para garantizar que las descargas no dañen las aguas subterráneas o superficiales.</w:t>
      </w:r>
      <w:r w:rsidRPr="7868CEFD">
        <w:rPr>
          <w:sz w:val="22"/>
          <w:szCs w:val="22"/>
        </w:rPr>
        <w:t xml:space="preserve"> </w:t>
      </w:r>
    </w:p>
    <w:p w14:paraId="3B0699F8" w14:textId="2E203B9E" w:rsidR="00524E31" w:rsidRDefault="7868CEFD" w:rsidP="00D272BD">
      <w:pPr>
        <w:rPr>
          <w:sz w:val="22"/>
          <w:szCs w:val="22"/>
        </w:rPr>
      </w:pPr>
      <w:r w:rsidRPr="7868CEFD">
        <w:rPr>
          <w:b/>
          <w:bCs/>
          <w:sz w:val="22"/>
          <w:szCs w:val="22"/>
        </w:rPr>
        <w:t>SSO</w:t>
      </w:r>
      <w:r w:rsidRPr="7868CEFD">
        <w:rPr>
          <w:sz w:val="22"/>
          <w:szCs w:val="22"/>
        </w:rPr>
        <w:t xml:space="preserve">: </w:t>
      </w:r>
      <w:r w:rsidR="00B72EDB" w:rsidRPr="00B72EDB">
        <w:rPr>
          <w:sz w:val="22"/>
          <w:szCs w:val="22"/>
        </w:rPr>
        <w:t xml:space="preserve">Sistemas de recolección de aguas residuales municipales que recogen y transportan las aguas residuales para garantizar que se gestionen y traten de manera segura antes de verterlas al medio ambiente. </w:t>
      </w:r>
      <w:r w:rsidR="00D165C9" w:rsidRPr="00D165C9">
        <w:rPr>
          <w:sz w:val="22"/>
          <w:szCs w:val="22"/>
        </w:rPr>
        <w:t>Sistemas de recolección de aguas residuales municipales que recogen y transportan las aguas residuales para garantizar que se gestionen y traten de manera segura antes de verterlas al medio ambiente.</w:t>
      </w:r>
      <w:r w:rsidRPr="7868CEFD">
        <w:rPr>
          <w:sz w:val="22"/>
          <w:szCs w:val="22"/>
        </w:rPr>
        <w:t xml:space="preserve"> </w:t>
      </w:r>
      <w:r w:rsidR="00D165C9" w:rsidRPr="00D165C9">
        <w:rPr>
          <w:sz w:val="22"/>
          <w:szCs w:val="22"/>
        </w:rPr>
        <w:t>El objetivo de regular y monitorear estos sistemas es prevenir desbordes y derrames de aguas residuales no tratadas o parcialmente tratadas.</w:t>
      </w:r>
    </w:p>
    <w:p w14:paraId="771FE3DE" w14:textId="77777777" w:rsidR="00792130" w:rsidRDefault="00792130" w:rsidP="00D272BD">
      <w:pPr>
        <w:rPr>
          <w:b/>
          <w:bCs/>
          <w:sz w:val="22"/>
          <w:szCs w:val="22"/>
        </w:rPr>
      </w:pPr>
      <w:bookmarkStart w:id="0" w:name="_Hlk187654354"/>
    </w:p>
    <w:p w14:paraId="48109363" w14:textId="77777777" w:rsidR="00792130" w:rsidRDefault="00792130" w:rsidP="00D272BD">
      <w:pPr>
        <w:rPr>
          <w:b/>
          <w:bCs/>
          <w:sz w:val="22"/>
          <w:szCs w:val="22"/>
        </w:rPr>
      </w:pPr>
    </w:p>
    <w:p w14:paraId="11792F16" w14:textId="77777777" w:rsidR="00792130" w:rsidRDefault="00792130" w:rsidP="00D272BD">
      <w:pPr>
        <w:rPr>
          <w:b/>
          <w:bCs/>
          <w:sz w:val="22"/>
          <w:szCs w:val="22"/>
        </w:rPr>
      </w:pPr>
    </w:p>
    <w:p w14:paraId="0FF7BEE6" w14:textId="77777777" w:rsidR="00792130" w:rsidRDefault="00792130" w:rsidP="00D272BD">
      <w:pPr>
        <w:rPr>
          <w:b/>
          <w:bCs/>
          <w:sz w:val="22"/>
          <w:szCs w:val="22"/>
        </w:rPr>
      </w:pPr>
    </w:p>
    <w:p w14:paraId="303FBBDA" w14:textId="77777777" w:rsidR="00792130" w:rsidRDefault="00792130" w:rsidP="00D272BD">
      <w:pPr>
        <w:rPr>
          <w:b/>
          <w:bCs/>
          <w:sz w:val="22"/>
          <w:szCs w:val="22"/>
        </w:rPr>
      </w:pPr>
    </w:p>
    <w:p w14:paraId="301812D3" w14:textId="77777777" w:rsidR="00792130" w:rsidRDefault="00792130" w:rsidP="00D272BD">
      <w:pPr>
        <w:rPr>
          <w:b/>
          <w:bCs/>
          <w:sz w:val="22"/>
          <w:szCs w:val="22"/>
        </w:rPr>
      </w:pPr>
    </w:p>
    <w:p w14:paraId="05BE21B2" w14:textId="77777777" w:rsidR="00792130" w:rsidRDefault="00792130" w:rsidP="00D272BD">
      <w:pPr>
        <w:rPr>
          <w:b/>
          <w:bCs/>
          <w:sz w:val="22"/>
          <w:szCs w:val="22"/>
        </w:rPr>
      </w:pPr>
    </w:p>
    <w:p w14:paraId="527E2625" w14:textId="77777777" w:rsidR="00792130" w:rsidRDefault="00792130" w:rsidP="00D272BD">
      <w:pPr>
        <w:rPr>
          <w:b/>
          <w:bCs/>
          <w:sz w:val="22"/>
          <w:szCs w:val="22"/>
        </w:rPr>
      </w:pPr>
    </w:p>
    <w:p w14:paraId="6B403573" w14:textId="77777777" w:rsidR="00792130" w:rsidRDefault="00792130" w:rsidP="00D272BD">
      <w:pPr>
        <w:rPr>
          <w:b/>
          <w:bCs/>
          <w:sz w:val="22"/>
          <w:szCs w:val="22"/>
        </w:rPr>
      </w:pPr>
    </w:p>
    <w:p w14:paraId="165B5EE3" w14:textId="77777777" w:rsidR="00792130" w:rsidRDefault="00792130" w:rsidP="00D272BD">
      <w:pPr>
        <w:rPr>
          <w:b/>
          <w:bCs/>
          <w:sz w:val="22"/>
          <w:szCs w:val="22"/>
        </w:rPr>
      </w:pPr>
    </w:p>
    <w:p w14:paraId="7762C790" w14:textId="1B93CA00" w:rsidR="00792130" w:rsidRDefault="00D165C9" w:rsidP="00D272BD">
      <w:pPr>
        <w:rPr>
          <w:b/>
          <w:bCs/>
          <w:sz w:val="22"/>
          <w:szCs w:val="22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F8950" wp14:editId="3DD6098B">
                <wp:simplePos x="0" y="0"/>
                <wp:positionH relativeFrom="page">
                  <wp:posOffset>277586</wp:posOffset>
                </wp:positionH>
                <wp:positionV relativeFrom="paragraph">
                  <wp:posOffset>-266700</wp:posOffset>
                </wp:positionV>
                <wp:extent cx="6335485" cy="420279"/>
                <wp:effectExtent l="0" t="0" r="27305" b="18415"/>
                <wp:wrapNone/>
                <wp:docPr id="17680825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5" cy="4202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8B45" w14:textId="6E9C38AB" w:rsidR="00792130" w:rsidRPr="00792130" w:rsidRDefault="00792130" w:rsidP="005900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2130">
                              <w:rPr>
                                <w:b/>
                                <w:bCs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92130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D165C9" w:rsidRPr="00D165C9">
                              <w:rPr>
                                <w:b/>
                                <w:bCs/>
                              </w:rPr>
                              <w:t xml:space="preserve">Criterios de </w:t>
                            </w:r>
                            <w:r w:rsidR="00D165C9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D165C9" w:rsidRPr="00D165C9">
                              <w:rPr>
                                <w:b/>
                                <w:bCs/>
                              </w:rPr>
                              <w:t>nadecuación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9005E" w:rsidRPr="0059005E">
                              <w:rPr>
                                <w:b/>
                                <w:bCs/>
                              </w:rPr>
                              <w:t>de las instalaciones con permisos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 xml:space="preserve"> 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8950" id="Rectangle 1" o:spid="_x0000_s1026" style="position:absolute;margin-left:21.85pt;margin-top:-21pt;width:498.8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" fillcolor="white [3201]" strokecolor="white [3212]" strokeweight="1pt">
                <v:textbox>
                  <w:txbxContent>
                    <w:p w14:paraId="4E088B45" w14:textId="6E9C38AB" w:rsidR="00792130" w:rsidRPr="00792130" w:rsidRDefault="00792130" w:rsidP="0059005E">
                      <w:pPr>
                        <w:rPr>
                          <w:b/>
                          <w:bCs/>
                        </w:rPr>
                      </w:pPr>
                      <w:r w:rsidRPr="00792130">
                        <w:rPr>
                          <w:b/>
                          <w:bCs/>
                        </w:rPr>
                        <w:t xml:space="preserve">Table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792130"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="00D165C9" w:rsidRPr="00D165C9">
                        <w:rPr>
                          <w:b/>
                          <w:bCs/>
                        </w:rPr>
                        <w:t>Criterios</w:t>
                      </w:r>
                      <w:proofErr w:type="spellEnd"/>
                      <w:r w:rsidR="00D165C9" w:rsidRPr="00D165C9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="00D165C9">
                        <w:rPr>
                          <w:b/>
                          <w:bCs/>
                        </w:rPr>
                        <w:t>I</w:t>
                      </w:r>
                      <w:r w:rsidR="00D165C9" w:rsidRPr="00D165C9">
                        <w:rPr>
                          <w:b/>
                          <w:bCs/>
                        </w:rPr>
                        <w:t>nadecuación</w:t>
                      </w:r>
                      <w:proofErr w:type="spellEnd"/>
                      <w:r w:rsidR="0059005E">
                        <w:rPr>
                          <w:b/>
                          <w:bCs/>
                        </w:rPr>
                        <w:t xml:space="preserve"> </w:t>
                      </w:r>
                      <w:r w:rsidR="0059005E" w:rsidRPr="0059005E">
                        <w:rPr>
                          <w:b/>
                          <w:bCs/>
                        </w:rPr>
                        <w:t xml:space="preserve">de las </w:t>
                      </w:r>
                      <w:proofErr w:type="spellStart"/>
                      <w:r w:rsidR="0059005E" w:rsidRPr="0059005E">
                        <w:rPr>
                          <w:b/>
                          <w:bCs/>
                        </w:rPr>
                        <w:t>instalaciones</w:t>
                      </w:r>
                      <w:proofErr w:type="spellEnd"/>
                      <w:r w:rsidR="0059005E" w:rsidRPr="0059005E">
                        <w:rPr>
                          <w:b/>
                          <w:bCs/>
                        </w:rPr>
                        <w:t xml:space="preserve"> con </w:t>
                      </w:r>
                      <w:proofErr w:type="spellStart"/>
                      <w:r w:rsidR="0059005E" w:rsidRPr="0059005E">
                        <w:rPr>
                          <w:b/>
                          <w:bCs/>
                        </w:rPr>
                        <w:t>permisos</w:t>
                      </w:r>
                      <w:proofErr w:type="spellEnd"/>
                      <w:r w:rsidR="0059005E">
                        <w:rPr>
                          <w:b/>
                          <w:bCs/>
                        </w:rPr>
                        <w:t xml:space="preserve"> SSO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-135"/>
        <w:tblW w:w="1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150"/>
        <w:gridCol w:w="5751"/>
      </w:tblGrid>
      <w:tr w:rsidR="00EB618C" w:rsidRPr="004B6089" w14:paraId="65B58842" w14:textId="77777777" w:rsidTr="00EB618C">
        <w:trPr>
          <w:trHeight w:val="245"/>
        </w:trPr>
        <w:tc>
          <w:tcPr>
            <w:tcW w:w="2875" w:type="dxa"/>
            <w:shd w:val="clear" w:color="auto" w:fill="002060"/>
          </w:tcPr>
          <w:p w14:paraId="773C00D8" w14:textId="26718229" w:rsidR="00EB618C" w:rsidRDefault="00DB38A5" w:rsidP="00EB618C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 xml:space="preserve">Criterios de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nadecuación</w:t>
            </w:r>
          </w:p>
        </w:tc>
        <w:tc>
          <w:tcPr>
            <w:tcW w:w="3150" w:type="dxa"/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95FB8" w14:textId="32AC9E72" w:rsidR="00EB618C" w:rsidRPr="004B6089" w:rsidRDefault="00DB38A5" w:rsidP="00EB618C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étricas</w:t>
            </w:r>
          </w:p>
        </w:tc>
        <w:tc>
          <w:tcPr>
            <w:tcW w:w="5751" w:type="dxa"/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9FC6C" w14:textId="4F311706" w:rsidR="00EB618C" w:rsidRPr="004B6089" w:rsidRDefault="00DB38A5" w:rsidP="00EB618C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escripción</w:t>
            </w:r>
          </w:p>
        </w:tc>
      </w:tr>
      <w:tr w:rsidR="00EB618C" w:rsidRPr="004B6089" w14:paraId="46D4DDC8" w14:textId="77777777" w:rsidTr="00EB618C">
        <w:trPr>
          <w:trHeight w:val="554"/>
        </w:trPr>
        <w:tc>
          <w:tcPr>
            <w:tcW w:w="2875" w:type="dxa"/>
            <w:vMerge w:val="restart"/>
          </w:tcPr>
          <w:p w14:paraId="003941B1" w14:textId="77777777" w:rsidR="00EB618C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F99E47D" w14:textId="77777777" w:rsidR="00EB618C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DDF6A4D" w14:textId="77777777" w:rsidR="00EB618C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0731806" w14:textId="77777777" w:rsidR="00EB618C" w:rsidRDefault="00EB618C" w:rsidP="00EB618C">
            <w:pPr>
              <w:spacing w:line="240" w:lineRule="auto"/>
              <w:rPr>
                <w:sz w:val="20"/>
                <w:szCs w:val="20"/>
              </w:rPr>
            </w:pPr>
          </w:p>
          <w:p w14:paraId="6A6D8A86" w14:textId="279F442E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7868CEFD">
              <w:rPr>
                <w:sz w:val="20"/>
                <w:szCs w:val="20"/>
              </w:rPr>
              <w:t xml:space="preserve">1+ </w:t>
            </w:r>
            <w:r w:rsidR="00EA0E74">
              <w:t xml:space="preserve"> </w:t>
            </w:r>
            <w:r w:rsidR="00EA0E74" w:rsidRPr="00EA0E74">
              <w:rPr>
                <w:sz w:val="20"/>
                <w:szCs w:val="20"/>
              </w:rPr>
              <w:t>métricas de violación y orden de ejecución</w:t>
            </w: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8298C" w14:textId="4B25CA5E" w:rsidR="00EB618C" w:rsidRPr="004B6089" w:rsidRDefault="00EA0E74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0E74">
              <w:rPr>
                <w:sz w:val="20"/>
                <w:szCs w:val="20"/>
              </w:rPr>
              <w:t>Un promedio de 3 derrames de Cat1 o Cat2 en los últimos 5 años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EA4CB" w14:textId="6C2BFB20" w:rsidR="00EB618C" w:rsidRPr="004B6089" w:rsidRDefault="00EA0E74" w:rsidP="00EB618C">
            <w:pPr>
              <w:spacing w:line="240" w:lineRule="auto"/>
              <w:rPr>
                <w:sz w:val="20"/>
                <w:szCs w:val="20"/>
              </w:rPr>
            </w:pPr>
            <w:r w:rsidRPr="00EA0E74">
              <w:rPr>
                <w:sz w:val="20"/>
                <w:szCs w:val="20"/>
              </w:rPr>
              <w:t>Indica la frecuencia de desbordes significativos del alcantarillado sanitario en los últimos cinco años</w:t>
            </w:r>
            <w:r>
              <w:rPr>
                <w:sz w:val="20"/>
                <w:szCs w:val="20"/>
              </w:rPr>
              <w:t>.</w:t>
            </w:r>
          </w:p>
        </w:tc>
      </w:tr>
      <w:tr w:rsidR="00EB618C" w:rsidRPr="004B6089" w14:paraId="189748C5" w14:textId="77777777" w:rsidTr="00EB618C">
        <w:trPr>
          <w:trHeight w:val="1137"/>
        </w:trPr>
        <w:tc>
          <w:tcPr>
            <w:tcW w:w="2875" w:type="dxa"/>
            <w:vMerge/>
          </w:tcPr>
          <w:p w14:paraId="6F4D19EB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84B85" w14:textId="11B0358E" w:rsidR="00EB618C" w:rsidRPr="004B6089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EA0E74" w:rsidRPr="00EA0E74">
              <w:rPr>
                <w:sz w:val="20"/>
                <w:szCs w:val="20"/>
              </w:rPr>
              <w:t>50 %</w:t>
            </w:r>
            <w:r w:rsidR="00EA0E74">
              <w:rPr>
                <w:sz w:val="20"/>
                <w:szCs w:val="20"/>
              </w:rPr>
              <w:t xml:space="preserve"> </w:t>
            </w:r>
            <w:r w:rsidR="00EA0E74" w:rsidRPr="00EA0E74">
              <w:rPr>
                <w:sz w:val="20"/>
                <w:szCs w:val="20"/>
              </w:rPr>
              <w:t>Recuperación de</w:t>
            </w:r>
            <w:r w:rsidR="00EA0E74">
              <w:rPr>
                <w:sz w:val="20"/>
                <w:szCs w:val="20"/>
              </w:rPr>
              <w:t>l</w:t>
            </w:r>
            <w:r w:rsidR="00EA0E74" w:rsidRPr="00EA0E74">
              <w:rPr>
                <w:sz w:val="20"/>
                <w:szCs w:val="20"/>
              </w:rPr>
              <w:t xml:space="preserve"> derrame para derrames de Cat1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636F6" w14:textId="4F5E5159" w:rsidR="00EB618C" w:rsidRPr="004B6089" w:rsidRDefault="00EA0E74" w:rsidP="00EB618C">
            <w:pPr>
              <w:spacing w:line="240" w:lineRule="auto"/>
              <w:rPr>
                <w:sz w:val="20"/>
                <w:szCs w:val="20"/>
              </w:rPr>
            </w:pPr>
            <w:r w:rsidRPr="00EA0E74">
              <w:rPr>
                <w:sz w:val="20"/>
                <w:szCs w:val="20"/>
              </w:rPr>
              <w:t>Indica la eficacia de la respuesta a derrames para derrames graves de Cat1 que pueden tener un impacto más significativo en el medio ambiente y la salud pública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04006AAA" w14:textId="77777777" w:rsidTr="00EB618C">
        <w:trPr>
          <w:trHeight w:val="716"/>
        </w:trPr>
        <w:tc>
          <w:tcPr>
            <w:tcW w:w="2875" w:type="dxa"/>
            <w:vMerge/>
          </w:tcPr>
          <w:p w14:paraId="7ECF7964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0EAA2" w14:textId="6E8B2CD5" w:rsidR="00EB618C" w:rsidRPr="004B6089" w:rsidRDefault="00ED29A2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>No se informó de ningún Plan de Gestión del Sistema de Alcantarillado (</w:t>
            </w:r>
            <w:r w:rsidRPr="00764C75">
              <w:rPr>
                <w:sz w:val="20"/>
                <w:szCs w:val="20"/>
              </w:rPr>
              <w:t>Sewer System Management Plan</w:t>
            </w:r>
            <w:r>
              <w:rPr>
                <w:sz w:val="20"/>
                <w:szCs w:val="20"/>
              </w:rPr>
              <w:t xml:space="preserve">, </w:t>
            </w:r>
            <w:r w:rsidRPr="00ED29A2">
              <w:rPr>
                <w:sz w:val="20"/>
                <w:szCs w:val="20"/>
              </w:rPr>
              <w:t>SSMP) en el último año o SSMP anterior a 2017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64C0E" w14:textId="357FD73C" w:rsidR="00EB618C" w:rsidRPr="004B6089" w:rsidRDefault="00ED29A2" w:rsidP="00EB618C">
            <w:pPr>
              <w:spacing w:line="240" w:lineRule="auto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 xml:space="preserve">Indica </w:t>
            </w:r>
            <w:r>
              <w:rPr>
                <w:sz w:val="20"/>
                <w:szCs w:val="20"/>
              </w:rPr>
              <w:t>defciciencias</w:t>
            </w:r>
            <w:r w:rsidRPr="00ED29A2">
              <w:rPr>
                <w:sz w:val="20"/>
                <w:szCs w:val="20"/>
              </w:rPr>
              <w:t xml:space="preserve"> en el cumplimiento, la planificación de recursos o la supervisión operativa.</w:t>
            </w:r>
          </w:p>
        </w:tc>
      </w:tr>
      <w:tr w:rsidR="00EB618C" w:rsidRPr="004B6089" w14:paraId="22532A98" w14:textId="77777777" w:rsidTr="00EB618C">
        <w:trPr>
          <w:trHeight w:val="716"/>
        </w:trPr>
        <w:tc>
          <w:tcPr>
            <w:tcW w:w="2875" w:type="dxa"/>
            <w:vMerge/>
          </w:tcPr>
          <w:p w14:paraId="1F08AA5E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C8AE0" w14:textId="3942B3F7" w:rsidR="00EB618C" w:rsidRDefault="00ED29A2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>“Certificación de no derrame” no reportada en el último año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88C18" w14:textId="750AAA37" w:rsidR="00EB618C" w:rsidRPr="004B6089" w:rsidRDefault="00ED29A2" w:rsidP="00EB618C">
            <w:pPr>
              <w:spacing w:line="240" w:lineRule="auto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>Indica defciciencias en el cumplimiento, la planificación de recursos o la supervisión operativa.</w:t>
            </w:r>
          </w:p>
        </w:tc>
      </w:tr>
      <w:tr w:rsidR="00EB618C" w:rsidRPr="004B6089" w14:paraId="3EC20946" w14:textId="77777777" w:rsidTr="00EB618C">
        <w:trPr>
          <w:trHeight w:val="716"/>
        </w:trPr>
        <w:tc>
          <w:tcPr>
            <w:tcW w:w="2875" w:type="dxa"/>
            <w:vMerge/>
          </w:tcPr>
          <w:p w14:paraId="6B95D3B2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742A1" w14:textId="4370788C" w:rsidR="00EB618C" w:rsidRDefault="00ED29A2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>No se ha presentado ningún informe anual en el último año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41B24" w14:textId="28DA5659" w:rsidR="00EB618C" w:rsidRPr="004B6089" w:rsidRDefault="00ED29A2" w:rsidP="00EB618C">
            <w:pPr>
              <w:spacing w:line="240" w:lineRule="auto"/>
              <w:rPr>
                <w:sz w:val="20"/>
                <w:szCs w:val="20"/>
              </w:rPr>
            </w:pPr>
            <w:r w:rsidRPr="00ED29A2">
              <w:rPr>
                <w:sz w:val="20"/>
                <w:szCs w:val="20"/>
              </w:rPr>
              <w:t>Indica defciciencias en el cumplimiento, la planificación de recursos o la supervisión operativa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10470FAE" w14:textId="77777777" w:rsidTr="00DD607E">
        <w:trPr>
          <w:trHeight w:val="751"/>
        </w:trPr>
        <w:tc>
          <w:tcPr>
            <w:tcW w:w="2875" w:type="dxa"/>
            <w:vMerge w:val="restart"/>
            <w:vAlign w:val="center"/>
          </w:tcPr>
          <w:p w14:paraId="34EA8A10" w14:textId="465ACE8B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7868CEFD">
              <w:rPr>
                <w:sz w:val="20"/>
                <w:szCs w:val="20"/>
              </w:rPr>
              <w:t>1+</w:t>
            </w:r>
            <w:r>
              <w:rPr>
                <w:sz w:val="20"/>
                <w:szCs w:val="20"/>
              </w:rPr>
              <w:t xml:space="preserve"> </w:t>
            </w:r>
            <w:r w:rsidR="003A4A77">
              <w:t xml:space="preserve"> </w:t>
            </w:r>
            <w:r w:rsidR="003A4A77" w:rsidRPr="003A4A77">
              <w:rPr>
                <w:sz w:val="20"/>
                <w:szCs w:val="20"/>
              </w:rPr>
              <w:t>de cumplimiento activo y órdenes de ejecución</w:t>
            </w: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F542B" w14:textId="270E7EE6" w:rsidR="00EB618C" w:rsidRPr="004B6089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X+ </w:t>
            </w:r>
            <w:r w:rsidR="003A4A77">
              <w:t xml:space="preserve"> </w:t>
            </w:r>
            <w:r w:rsidR="003A4A77" w:rsidRPr="003A4A77">
              <w:rPr>
                <w:sz w:val="20"/>
                <w:szCs w:val="20"/>
              </w:rPr>
              <w:t>Número de avisos de infracción (</w:t>
            </w:r>
            <w:r w:rsidR="003A4A77">
              <w:rPr>
                <w:sz w:val="20"/>
                <w:szCs w:val="20"/>
              </w:rPr>
              <w:t xml:space="preserve">Notice of Violations, </w:t>
            </w:r>
            <w:r w:rsidR="003A4A77" w:rsidRPr="003A4A77">
              <w:rPr>
                <w:sz w:val="20"/>
                <w:szCs w:val="20"/>
              </w:rPr>
              <w:t xml:space="preserve">NOV) activos o cerrados en los últimos 5 años 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CAC9E" w14:textId="5CE781D7" w:rsidR="00EB618C" w:rsidRPr="004B6089" w:rsidRDefault="003A4A77" w:rsidP="00EB618C">
            <w:pPr>
              <w:spacing w:line="240" w:lineRule="auto"/>
              <w:rPr>
                <w:sz w:val="20"/>
                <w:szCs w:val="20"/>
              </w:rPr>
            </w:pPr>
            <w:r w:rsidRPr="003A4A77">
              <w:rPr>
                <w:sz w:val="20"/>
                <w:szCs w:val="20"/>
              </w:rPr>
              <w:t>Indica problemas de cumplimiento no resueltos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070725C1" w14:textId="77777777" w:rsidTr="00EB618C">
        <w:trPr>
          <w:trHeight w:val="751"/>
        </w:trPr>
        <w:tc>
          <w:tcPr>
            <w:tcW w:w="2875" w:type="dxa"/>
            <w:vMerge/>
          </w:tcPr>
          <w:p w14:paraId="1131375E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5CA9F" w14:textId="13CA19B8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="003A4A77">
              <w:t xml:space="preserve"> </w:t>
            </w:r>
            <w:r w:rsidR="003A4A77" w:rsidRPr="003A4A77">
              <w:rPr>
                <w:sz w:val="20"/>
                <w:szCs w:val="20"/>
              </w:rPr>
              <w:t>Órdenes de cese y desistimiento (</w:t>
            </w:r>
            <w:r w:rsidR="003A4A77" w:rsidRPr="004B6089">
              <w:rPr>
                <w:sz w:val="20"/>
                <w:szCs w:val="20"/>
              </w:rPr>
              <w:t>Cease and Desist Orders</w:t>
            </w:r>
            <w:r w:rsidR="003A4A77">
              <w:rPr>
                <w:sz w:val="20"/>
                <w:szCs w:val="20"/>
              </w:rPr>
              <w:t xml:space="preserve">, </w:t>
            </w:r>
            <w:r w:rsidR="003A4A77" w:rsidRPr="003A4A77">
              <w:rPr>
                <w:sz w:val="20"/>
                <w:szCs w:val="20"/>
              </w:rPr>
              <w:t>CDO) activas en los últimos 5 años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AF573" w14:textId="783D5436" w:rsidR="00EB618C" w:rsidRPr="004B6089" w:rsidRDefault="003A4A77" w:rsidP="00EB618C">
            <w:pPr>
              <w:spacing w:line="240" w:lineRule="auto"/>
              <w:rPr>
                <w:sz w:val="20"/>
                <w:szCs w:val="20"/>
              </w:rPr>
            </w:pPr>
            <w:r w:rsidRPr="003A4A77">
              <w:rPr>
                <w:sz w:val="20"/>
                <w:szCs w:val="20"/>
              </w:rPr>
              <w:t>Órdenes para detener una actividad que viola las normas. Indica problemas de cumplimiento no resueltos que deben abordarse con urgencia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64E1483A" w14:textId="77777777" w:rsidTr="00EB618C">
        <w:trPr>
          <w:trHeight w:val="751"/>
        </w:trPr>
        <w:tc>
          <w:tcPr>
            <w:tcW w:w="2875" w:type="dxa"/>
            <w:vMerge/>
          </w:tcPr>
          <w:p w14:paraId="384022F2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982D9" w14:textId="289DF053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="003A4A77">
              <w:t xml:space="preserve"> </w:t>
            </w:r>
            <w:r w:rsidR="003A4A77" w:rsidRPr="004B6089">
              <w:rPr>
                <w:sz w:val="20"/>
                <w:szCs w:val="20"/>
              </w:rPr>
              <w:t xml:space="preserve"> Time Schedule Orders </w:t>
            </w:r>
            <w:r w:rsidR="003A4A77" w:rsidRPr="003A4A77">
              <w:rPr>
                <w:sz w:val="20"/>
                <w:szCs w:val="20"/>
              </w:rPr>
              <w:t xml:space="preserve">(TSO) activas en los últimos 5 años 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D65A6" w14:textId="3DC36C87" w:rsidR="00EB618C" w:rsidRPr="004B6089" w:rsidRDefault="00E13325" w:rsidP="00EB618C">
            <w:pPr>
              <w:spacing w:line="240" w:lineRule="auto"/>
              <w:rPr>
                <w:sz w:val="20"/>
                <w:szCs w:val="20"/>
              </w:rPr>
            </w:pPr>
            <w:r w:rsidRPr="00E13325">
              <w:rPr>
                <w:sz w:val="20"/>
                <w:szCs w:val="20"/>
              </w:rPr>
              <w:t>Requiere un sistema para delinear un plan para abordar las infracciones. Indica problemas de cumplimiento no resueltos y la necesidad de mejoras o actualizaciones dentro de un plazo específico.</w:t>
            </w:r>
          </w:p>
        </w:tc>
      </w:tr>
      <w:tr w:rsidR="00EB618C" w:rsidRPr="004B6089" w14:paraId="0CD0A0F5" w14:textId="77777777" w:rsidTr="00EB618C">
        <w:trPr>
          <w:trHeight w:val="751"/>
        </w:trPr>
        <w:tc>
          <w:tcPr>
            <w:tcW w:w="2875" w:type="dxa"/>
            <w:vMerge/>
          </w:tcPr>
          <w:p w14:paraId="319CB861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A3CE0" w14:textId="34AC6098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Pr="004B6089">
              <w:rPr>
                <w:sz w:val="20"/>
                <w:szCs w:val="20"/>
              </w:rPr>
              <w:t xml:space="preserve">Cleanup </w:t>
            </w:r>
            <w:r>
              <w:rPr>
                <w:sz w:val="20"/>
                <w:szCs w:val="20"/>
              </w:rPr>
              <w:t>&amp;</w:t>
            </w:r>
            <w:r w:rsidRPr="004B6089">
              <w:rPr>
                <w:sz w:val="20"/>
                <w:szCs w:val="20"/>
              </w:rPr>
              <w:t xml:space="preserve"> Abatement Orders (CAOs)</w:t>
            </w:r>
            <w:r>
              <w:rPr>
                <w:sz w:val="20"/>
                <w:szCs w:val="20"/>
              </w:rPr>
              <w:t xml:space="preserve"> </w:t>
            </w:r>
            <w:r w:rsidR="00E13325" w:rsidRPr="00E13325">
              <w:rPr>
                <w:sz w:val="20"/>
                <w:szCs w:val="20"/>
              </w:rPr>
              <w:t>activas en los últimos 5 años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E3CD5" w14:textId="2132379F" w:rsidR="00EB618C" w:rsidRPr="004B6089" w:rsidRDefault="00E13325" w:rsidP="00EB618C">
            <w:pPr>
              <w:spacing w:line="240" w:lineRule="auto"/>
              <w:rPr>
                <w:sz w:val="20"/>
                <w:szCs w:val="20"/>
              </w:rPr>
            </w:pPr>
            <w:r w:rsidRPr="00E13325">
              <w:rPr>
                <w:sz w:val="20"/>
                <w:szCs w:val="20"/>
              </w:rPr>
              <w:t>Indica problemas de cumplimiento no resueltos que requieren una limpieza inmediata de la contaminación para evitar daños mayores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7745611B" w14:textId="77777777" w:rsidTr="00EB618C">
        <w:trPr>
          <w:trHeight w:val="645"/>
        </w:trPr>
        <w:tc>
          <w:tcPr>
            <w:tcW w:w="2875" w:type="dxa"/>
            <w:vMerge/>
          </w:tcPr>
          <w:p w14:paraId="3ABB87EF" w14:textId="77777777" w:rsidR="00EB618C" w:rsidRPr="00764C75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AA6C1" w14:textId="72C03099" w:rsidR="00EB618C" w:rsidRPr="004B6089" w:rsidRDefault="00EB618C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Administrative Civil Liability Order (ACLO) </w:t>
            </w:r>
            <w:r w:rsidR="00E13325" w:rsidRPr="00E13325">
              <w:rPr>
                <w:sz w:val="20"/>
                <w:szCs w:val="20"/>
              </w:rPr>
              <w:t>activas en los últimos 5 años</w:t>
            </w:r>
          </w:p>
        </w:tc>
        <w:tc>
          <w:tcPr>
            <w:tcW w:w="57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C062A" w14:textId="464EBA7D" w:rsidR="00EB618C" w:rsidRPr="004B6089" w:rsidRDefault="00E13325" w:rsidP="00EB618C">
            <w:pPr>
              <w:spacing w:line="240" w:lineRule="auto"/>
              <w:rPr>
                <w:sz w:val="20"/>
                <w:szCs w:val="20"/>
              </w:rPr>
            </w:pPr>
            <w:r w:rsidRPr="00E13325">
              <w:rPr>
                <w:sz w:val="20"/>
                <w:szCs w:val="20"/>
              </w:rPr>
              <w:t>Implementa una sanción económica por infringir las normas. Indica problemas de cumplimiento no resueltos</w:t>
            </w:r>
            <w:r w:rsidR="00EB618C">
              <w:rPr>
                <w:sz w:val="20"/>
                <w:szCs w:val="20"/>
              </w:rPr>
              <w:t>.</w:t>
            </w:r>
          </w:p>
        </w:tc>
      </w:tr>
    </w:tbl>
    <w:p w14:paraId="08C29D02" w14:textId="36740294" w:rsidR="00005AA2" w:rsidRPr="00FB28A2" w:rsidRDefault="00005AA2" w:rsidP="00D272BD">
      <w:pPr>
        <w:rPr>
          <w:b/>
          <w:bCs/>
          <w:sz w:val="22"/>
          <w:szCs w:val="22"/>
        </w:rPr>
      </w:pPr>
    </w:p>
    <w:bookmarkEnd w:id="0"/>
    <w:p w14:paraId="2D5857A6" w14:textId="77777777" w:rsidR="00A42BD8" w:rsidRDefault="00A42BD8" w:rsidP="00A42BD8">
      <w:pPr>
        <w:rPr>
          <w:b/>
          <w:bCs/>
        </w:rPr>
      </w:pPr>
    </w:p>
    <w:p w14:paraId="3B7C6094" w14:textId="77777777" w:rsidR="00792130" w:rsidRDefault="00792130" w:rsidP="00792130">
      <w:pPr>
        <w:rPr>
          <w:b/>
          <w:bCs/>
          <w:sz w:val="22"/>
          <w:szCs w:val="22"/>
        </w:rPr>
      </w:pPr>
    </w:p>
    <w:p w14:paraId="4EB47668" w14:textId="77777777" w:rsidR="00792130" w:rsidRDefault="00792130" w:rsidP="00792130">
      <w:pPr>
        <w:rPr>
          <w:b/>
          <w:bCs/>
          <w:sz w:val="22"/>
          <w:szCs w:val="22"/>
        </w:rPr>
      </w:pPr>
    </w:p>
    <w:p w14:paraId="68283EA3" w14:textId="2D0BC8E4" w:rsidR="00DB38A5" w:rsidRDefault="00DB38A5" w:rsidP="00792130">
      <w:pPr>
        <w:rPr>
          <w:b/>
          <w:bCs/>
          <w:sz w:val="22"/>
          <w:szCs w:val="22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69777" wp14:editId="114FB509">
                <wp:simplePos x="0" y="0"/>
                <wp:positionH relativeFrom="page">
                  <wp:posOffset>223157</wp:posOffset>
                </wp:positionH>
                <wp:positionV relativeFrom="paragraph">
                  <wp:posOffset>0</wp:posOffset>
                </wp:positionV>
                <wp:extent cx="6226629" cy="317090"/>
                <wp:effectExtent l="0" t="0" r="22225" b="26035"/>
                <wp:wrapNone/>
                <wp:docPr id="16419941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629" cy="317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052C6" w14:textId="14A070BB" w:rsidR="00DB38A5" w:rsidRPr="00792130" w:rsidRDefault="00DB38A5" w:rsidP="005900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2130">
                              <w:rPr>
                                <w:b/>
                                <w:bCs/>
                              </w:rPr>
                              <w:t>Tabl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792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792130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9005E" w:rsidRPr="0059005E">
                              <w:rPr>
                                <w:b/>
                                <w:bCs/>
                              </w:rPr>
                              <w:t xml:space="preserve">Criterios de 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>In</w:t>
                            </w:r>
                            <w:r w:rsidR="0059005E" w:rsidRPr="0059005E">
                              <w:rPr>
                                <w:b/>
                                <w:bCs/>
                              </w:rPr>
                              <w:t xml:space="preserve">adecuación de las 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59005E" w:rsidRPr="0059005E">
                              <w:rPr>
                                <w:b/>
                                <w:bCs/>
                              </w:rPr>
                              <w:t xml:space="preserve">nstalaciones con </w:t>
                            </w:r>
                            <w:r w:rsidR="0059005E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59005E" w:rsidRPr="0059005E">
                              <w:rPr>
                                <w:b/>
                                <w:bCs/>
                              </w:rPr>
                              <w:t>ermisos NPDES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9777" id="_x0000_s1027" style="position:absolute;margin-left:17.55pt;margin-top:0;width:490.3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" fillcolor="white [3201]" strokecolor="white [3212]" strokeweight="1pt">
                <v:textbox>
                  <w:txbxContent>
                    <w:p w14:paraId="271052C6" w14:textId="14A070BB" w:rsidR="00DB38A5" w:rsidRPr="00792130" w:rsidRDefault="00DB38A5" w:rsidP="0059005E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92130">
                        <w:rPr>
                          <w:b/>
                          <w:bCs/>
                        </w:rPr>
                        <w:t>Tabl</w:t>
                      </w:r>
                      <w:r w:rsidR="0059005E">
                        <w:rPr>
                          <w:b/>
                          <w:bCs/>
                        </w:rPr>
                        <w:t>a</w:t>
                      </w:r>
                      <w:proofErr w:type="spellEnd"/>
                      <w:r w:rsidRPr="0079213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792130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59005E" w:rsidRPr="0059005E">
                        <w:rPr>
                          <w:b/>
                          <w:bCs/>
                        </w:rPr>
                        <w:t>Criterios</w:t>
                      </w:r>
                      <w:proofErr w:type="spellEnd"/>
                      <w:r w:rsidR="0059005E" w:rsidRPr="0059005E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="0059005E">
                        <w:rPr>
                          <w:b/>
                          <w:bCs/>
                        </w:rPr>
                        <w:t>In</w:t>
                      </w:r>
                      <w:r w:rsidR="0059005E" w:rsidRPr="0059005E">
                        <w:rPr>
                          <w:b/>
                          <w:bCs/>
                        </w:rPr>
                        <w:t>adecuación</w:t>
                      </w:r>
                      <w:proofErr w:type="spellEnd"/>
                      <w:r w:rsidR="0059005E" w:rsidRPr="0059005E">
                        <w:rPr>
                          <w:b/>
                          <w:bCs/>
                        </w:rPr>
                        <w:t xml:space="preserve"> de las </w:t>
                      </w:r>
                      <w:proofErr w:type="spellStart"/>
                      <w:r w:rsidR="0059005E">
                        <w:rPr>
                          <w:b/>
                          <w:bCs/>
                        </w:rPr>
                        <w:t>I</w:t>
                      </w:r>
                      <w:r w:rsidR="0059005E" w:rsidRPr="0059005E">
                        <w:rPr>
                          <w:b/>
                          <w:bCs/>
                        </w:rPr>
                        <w:t>nstalaciones</w:t>
                      </w:r>
                      <w:proofErr w:type="spellEnd"/>
                      <w:r w:rsidR="0059005E" w:rsidRPr="0059005E">
                        <w:rPr>
                          <w:b/>
                          <w:bCs/>
                        </w:rPr>
                        <w:t xml:space="preserve"> con </w:t>
                      </w:r>
                      <w:proofErr w:type="spellStart"/>
                      <w:r w:rsidR="0059005E">
                        <w:rPr>
                          <w:b/>
                          <w:bCs/>
                        </w:rPr>
                        <w:t>P</w:t>
                      </w:r>
                      <w:r w:rsidR="0059005E" w:rsidRPr="0059005E">
                        <w:rPr>
                          <w:b/>
                          <w:bCs/>
                        </w:rPr>
                        <w:t>ermisos</w:t>
                      </w:r>
                      <w:proofErr w:type="spellEnd"/>
                      <w:r w:rsidR="0059005E" w:rsidRPr="0059005E">
                        <w:rPr>
                          <w:b/>
                          <w:bCs/>
                        </w:rPr>
                        <w:t xml:space="preserve"> NPDES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4C2E03" w14:textId="16BF3EBD" w:rsidR="00792130" w:rsidRDefault="00792130" w:rsidP="00792130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239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980"/>
        <w:gridCol w:w="6938"/>
      </w:tblGrid>
      <w:tr w:rsidR="00792130" w:rsidRPr="004B6089" w14:paraId="14C744B5" w14:textId="77777777" w:rsidTr="00792130">
        <w:trPr>
          <w:trHeight w:val="315"/>
        </w:trPr>
        <w:tc>
          <w:tcPr>
            <w:tcW w:w="2782" w:type="dxa"/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F33CE" w14:textId="78F40D76" w:rsidR="00792130" w:rsidRPr="004B6089" w:rsidRDefault="00DB38A5" w:rsidP="00792130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 xml:space="preserve">Criterios de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nadecuación</w:t>
            </w:r>
          </w:p>
        </w:tc>
        <w:tc>
          <w:tcPr>
            <w:tcW w:w="1980" w:type="dxa"/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33FAD" w14:textId="714E1857" w:rsidR="00792130" w:rsidRPr="004B6089" w:rsidRDefault="00DB38A5" w:rsidP="00792130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étricas</w:t>
            </w:r>
          </w:p>
        </w:tc>
        <w:tc>
          <w:tcPr>
            <w:tcW w:w="6938" w:type="dxa"/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EA186" w14:textId="4F47CBF6" w:rsidR="00792130" w:rsidRPr="004B6089" w:rsidRDefault="00DB38A5" w:rsidP="00792130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Pr="00DB38A5">
              <w:rPr>
                <w:b/>
                <w:bCs/>
                <w:color w:val="FFFFFF" w:themeColor="background1"/>
                <w:sz w:val="22"/>
                <w:szCs w:val="22"/>
              </w:rPr>
              <w:t>escripción</w:t>
            </w:r>
          </w:p>
        </w:tc>
      </w:tr>
      <w:tr w:rsidR="00792130" w:rsidRPr="004B6089" w14:paraId="5382CC93" w14:textId="77777777" w:rsidTr="00792130">
        <w:trPr>
          <w:trHeight w:val="442"/>
        </w:trPr>
        <w:tc>
          <w:tcPr>
            <w:tcW w:w="27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A1FB" w14:textId="3FC06818" w:rsidR="00792130" w:rsidRPr="004B6089" w:rsidRDefault="0059005E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005E">
              <w:rPr>
                <w:sz w:val="20"/>
                <w:szCs w:val="20"/>
              </w:rPr>
              <w:t>Cumple con los criterios de incumplimiento significativo (</w:t>
            </w:r>
            <w:r w:rsidRPr="7868CEFD">
              <w:rPr>
                <w:sz w:val="20"/>
                <w:szCs w:val="20"/>
              </w:rPr>
              <w:t>Significantly Non-Compliance</w:t>
            </w:r>
            <w:r>
              <w:rPr>
                <w:sz w:val="20"/>
                <w:szCs w:val="20"/>
              </w:rPr>
              <w:t>,</w:t>
            </w:r>
            <w:r w:rsidRPr="0059005E">
              <w:rPr>
                <w:sz w:val="20"/>
                <w:szCs w:val="20"/>
              </w:rPr>
              <w:t xml:space="preserve"> SNC) de la </w:t>
            </w:r>
            <w:r w:rsidR="00792130" w:rsidRPr="7868CEF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.</w:t>
            </w:r>
            <w:r w:rsidR="00792130" w:rsidRPr="7868CEF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="00792130">
              <w:rPr>
                <w:sz w:val="20"/>
                <w:szCs w:val="20"/>
              </w:rPr>
              <w:t xml:space="preserve"> </w:t>
            </w:r>
            <w:r w:rsidR="00792130" w:rsidRPr="7868CEFD">
              <w:rPr>
                <w:sz w:val="20"/>
                <w:szCs w:val="20"/>
              </w:rPr>
              <w:t xml:space="preserve">EPA 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9FCF1" w14:textId="60033B27" w:rsidR="00792130" w:rsidRPr="004B6089" w:rsidRDefault="0059005E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005E">
              <w:rPr>
                <w:sz w:val="20"/>
                <w:szCs w:val="20"/>
              </w:rPr>
              <w:t xml:space="preserve">No presentar el informe requerido </w:t>
            </w:r>
            <w:r>
              <w:rPr>
                <w:sz w:val="20"/>
                <w:szCs w:val="20"/>
              </w:rPr>
              <w:t>por</w:t>
            </w:r>
            <w:r w:rsidRPr="0059005E">
              <w:rPr>
                <w:sz w:val="20"/>
                <w:szCs w:val="20"/>
              </w:rPr>
              <w:t xml:space="preserve"> más de 30 días 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96C76" w14:textId="2B462EC1" w:rsidR="00792130" w:rsidRPr="004B6089" w:rsidRDefault="002A5BD4" w:rsidP="00792130">
            <w:pPr>
              <w:spacing w:line="240" w:lineRule="auto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Los informes incluyen informes de progreso del cronograma de cumplimiento final, informes de monitoreo de descargas e informes del programa</w:t>
            </w:r>
            <w:r w:rsidR="00792130" w:rsidRPr="004B6089">
              <w:rPr>
                <w:sz w:val="20"/>
                <w:szCs w:val="20"/>
              </w:rPr>
              <w:t>.</w:t>
            </w:r>
          </w:p>
        </w:tc>
      </w:tr>
      <w:tr w:rsidR="00792130" w:rsidRPr="004B6089" w14:paraId="0C540F4A" w14:textId="77777777" w:rsidTr="00792130">
        <w:trPr>
          <w:trHeight w:val="568"/>
        </w:trPr>
        <w:tc>
          <w:tcPr>
            <w:tcW w:w="2782" w:type="dxa"/>
            <w:vMerge/>
            <w:vAlign w:val="center"/>
            <w:hideMark/>
          </w:tcPr>
          <w:p w14:paraId="5BEEF7D8" w14:textId="77777777" w:rsidR="00792130" w:rsidRPr="004B6089" w:rsidRDefault="00792130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70E81" w14:textId="61652CFC" w:rsidR="00792130" w:rsidRPr="004B6089" w:rsidRDefault="002A5BD4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Incumplimiento de la etapa del cronograma de cumplimiento del permiso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4606E" w14:textId="33B00120" w:rsidR="00792130" w:rsidRPr="004B6089" w:rsidRDefault="002A5BD4" w:rsidP="00792130">
            <w:pPr>
              <w:spacing w:line="240" w:lineRule="auto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No iniciar la construcción, completar la construcción o lograr el cumplimiento final dentro de los 90 días siguientes a la fecha establecida en un permiso, orden administrativa o judicial o reglamento</w:t>
            </w:r>
            <w:r w:rsidR="00792130" w:rsidRPr="004B6089">
              <w:rPr>
                <w:sz w:val="20"/>
                <w:szCs w:val="20"/>
              </w:rPr>
              <w:t>.</w:t>
            </w:r>
          </w:p>
        </w:tc>
      </w:tr>
      <w:tr w:rsidR="00792130" w:rsidRPr="004B6089" w14:paraId="1BE94A8D" w14:textId="77777777" w:rsidTr="00792130">
        <w:trPr>
          <w:trHeight w:val="406"/>
        </w:trPr>
        <w:tc>
          <w:tcPr>
            <w:tcW w:w="2782" w:type="dxa"/>
            <w:vMerge/>
            <w:vAlign w:val="center"/>
            <w:hideMark/>
          </w:tcPr>
          <w:p w14:paraId="0FDB4D9F" w14:textId="77777777" w:rsidR="00792130" w:rsidRPr="004B6089" w:rsidRDefault="00792130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D8807" w14:textId="2D6F3540" w:rsidR="00792130" w:rsidRPr="004B6089" w:rsidRDefault="002A5BD4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Violaciones de las medidas de cumplimiento formal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86862" w14:textId="70A0CE3C" w:rsidR="00792130" w:rsidRPr="004B6089" w:rsidRDefault="002A5BD4" w:rsidP="00792130">
            <w:pPr>
              <w:spacing w:line="240" w:lineRule="auto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Violaciones de cualquier requisito o condición en órdenes de ejecución administrativas o judiciales, distintas de las violaciones de construcción de cumplimiento y las violaciones de informes.</w:t>
            </w:r>
          </w:p>
        </w:tc>
      </w:tr>
      <w:tr w:rsidR="00792130" w:rsidRPr="004B6089" w14:paraId="6666DD01" w14:textId="77777777" w:rsidTr="00792130">
        <w:trPr>
          <w:trHeight w:val="352"/>
        </w:trPr>
        <w:tc>
          <w:tcPr>
            <w:tcW w:w="2782" w:type="dxa"/>
            <w:vMerge/>
            <w:vAlign w:val="center"/>
            <w:hideMark/>
          </w:tcPr>
          <w:p w14:paraId="5FDDB99E" w14:textId="77777777" w:rsidR="00792130" w:rsidRPr="004B6089" w:rsidRDefault="00792130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6DDA8" w14:textId="648C972B" w:rsidR="00792130" w:rsidRPr="004B6089" w:rsidRDefault="002A5BD4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A5BD4">
              <w:rPr>
                <w:sz w:val="20"/>
                <w:szCs w:val="20"/>
              </w:rPr>
              <w:t>Violaciones significativas del límite de efluentes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4827" w14:textId="491E096D" w:rsidR="00792130" w:rsidRPr="004B6089" w:rsidRDefault="00FA7F91" w:rsidP="00792130">
            <w:pPr>
              <w:spacing w:line="240" w:lineRule="auto"/>
              <w:rPr>
                <w:sz w:val="20"/>
                <w:szCs w:val="20"/>
              </w:rPr>
            </w:pPr>
            <w:r w:rsidRPr="00FA7F91">
              <w:rPr>
                <w:sz w:val="20"/>
                <w:szCs w:val="20"/>
              </w:rPr>
              <w:t xml:space="preserve">Los límites de efluentes del permiso </w:t>
            </w:r>
            <w:r>
              <w:rPr>
                <w:sz w:val="20"/>
                <w:szCs w:val="20"/>
              </w:rPr>
              <w:t xml:space="preserve">con un </w:t>
            </w:r>
            <w:r w:rsidRPr="00FA7F91">
              <w:rPr>
                <w:sz w:val="20"/>
                <w:szCs w:val="20"/>
              </w:rPr>
              <w:t xml:space="preserve">promedio mensual </w:t>
            </w:r>
            <w:r>
              <w:rPr>
                <w:sz w:val="20"/>
                <w:szCs w:val="20"/>
              </w:rPr>
              <w:t xml:space="preserve">que </w:t>
            </w:r>
            <w:r w:rsidRPr="00FA7F91">
              <w:rPr>
                <w:sz w:val="20"/>
                <w:szCs w:val="20"/>
              </w:rPr>
              <w:t>exceden en un 40% el límite de descarga permitido para contaminantes convencionales y en un 20% para contaminantes tóxicos</w:t>
            </w:r>
          </w:p>
        </w:tc>
      </w:tr>
      <w:tr w:rsidR="00792130" w:rsidRPr="004B6089" w14:paraId="1664BF18" w14:textId="77777777" w:rsidTr="00792130">
        <w:trPr>
          <w:trHeight w:val="280"/>
        </w:trPr>
        <w:tc>
          <w:tcPr>
            <w:tcW w:w="2782" w:type="dxa"/>
            <w:vMerge/>
            <w:vAlign w:val="center"/>
            <w:hideMark/>
          </w:tcPr>
          <w:p w14:paraId="13394B3A" w14:textId="77777777" w:rsidR="00792130" w:rsidRPr="004B6089" w:rsidRDefault="00792130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7BE13" w14:textId="3B358CA7" w:rsidR="00792130" w:rsidRPr="004B6089" w:rsidRDefault="00FA7F91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A7F91">
              <w:rPr>
                <w:sz w:val="20"/>
                <w:szCs w:val="20"/>
              </w:rPr>
              <w:t>Violaciones crónicas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395BF" w14:textId="50F59B06" w:rsidR="00792130" w:rsidRPr="004B6089" w:rsidRDefault="00FA7F91" w:rsidP="00792130">
            <w:pPr>
              <w:spacing w:line="240" w:lineRule="auto"/>
              <w:rPr>
                <w:sz w:val="20"/>
                <w:szCs w:val="20"/>
              </w:rPr>
            </w:pPr>
            <w:r w:rsidRPr="00FA7F91">
              <w:rPr>
                <w:sz w:val="20"/>
                <w:szCs w:val="20"/>
              </w:rPr>
              <w:t>Violaciones de los límites promedio mensuales de efluentes permitidos que se exceden en cuatro o más meses en un período de seis meses</w:t>
            </w:r>
            <w:r w:rsidR="00792130" w:rsidRPr="004B6089">
              <w:rPr>
                <w:sz w:val="20"/>
                <w:szCs w:val="20"/>
              </w:rPr>
              <w:t>.</w:t>
            </w:r>
          </w:p>
        </w:tc>
      </w:tr>
      <w:tr w:rsidR="00EB618C" w:rsidRPr="004B6089" w14:paraId="772DC7CC" w14:textId="77777777" w:rsidTr="00792130">
        <w:trPr>
          <w:trHeight w:val="379"/>
        </w:trPr>
        <w:tc>
          <w:tcPr>
            <w:tcW w:w="27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3B531" w14:textId="289C419A" w:rsidR="00EB618C" w:rsidRPr="004B6089" w:rsidRDefault="00EB618C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7868CEFD">
              <w:rPr>
                <w:sz w:val="20"/>
                <w:szCs w:val="20"/>
              </w:rPr>
              <w:t>1+</w:t>
            </w:r>
            <w:r>
              <w:rPr>
                <w:sz w:val="20"/>
                <w:szCs w:val="20"/>
              </w:rPr>
              <w:t xml:space="preserve"> </w:t>
            </w:r>
            <w:r w:rsidR="00FA7F91" w:rsidRPr="00FA7F91">
              <w:rPr>
                <w:sz w:val="20"/>
                <w:szCs w:val="20"/>
              </w:rPr>
              <w:t>órdenes de cumplimiento y ejecución a</w:t>
            </w:r>
            <w:r w:rsidR="00FA7F91">
              <w:rPr>
                <w:sz w:val="20"/>
                <w:szCs w:val="20"/>
              </w:rPr>
              <w:t>ctiva</w:t>
            </w:r>
            <w:r w:rsidR="00FA7F91" w:rsidRPr="00FA7F91">
              <w:rPr>
                <w:sz w:val="20"/>
                <w:szCs w:val="20"/>
              </w:rPr>
              <w:t>s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AD87D" w14:textId="2C298F53" w:rsidR="00EB618C" w:rsidRPr="004B6089" w:rsidRDefault="00EB618C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="00FA7F91">
              <w:t xml:space="preserve"> </w:t>
            </w:r>
            <w:r w:rsidR="00FA7F91" w:rsidRPr="00FA7F91">
              <w:rPr>
                <w:sz w:val="20"/>
                <w:szCs w:val="20"/>
              </w:rPr>
              <w:t xml:space="preserve">Órdenes de cese y desistimiento activas </w:t>
            </w:r>
            <w:r w:rsidRPr="004B6089">
              <w:rPr>
                <w:sz w:val="20"/>
                <w:szCs w:val="20"/>
              </w:rPr>
              <w:t>(</w:t>
            </w:r>
            <w:r w:rsidR="00FA7F91" w:rsidRPr="004B6089">
              <w:rPr>
                <w:sz w:val="20"/>
                <w:szCs w:val="20"/>
              </w:rPr>
              <w:t>Cease and Desist Orders</w:t>
            </w:r>
            <w:r w:rsidR="00FA7F91">
              <w:rPr>
                <w:sz w:val="20"/>
                <w:szCs w:val="20"/>
              </w:rPr>
              <w:t xml:space="preserve">, </w:t>
            </w:r>
            <w:r w:rsidRPr="004B6089">
              <w:rPr>
                <w:sz w:val="20"/>
                <w:szCs w:val="20"/>
              </w:rPr>
              <w:t>CDOs)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01C62" w14:textId="0FEC283D" w:rsidR="00EB618C" w:rsidRPr="004B6089" w:rsidRDefault="00FA7F91" w:rsidP="00792130">
            <w:pPr>
              <w:spacing w:line="240" w:lineRule="auto"/>
              <w:rPr>
                <w:sz w:val="20"/>
                <w:szCs w:val="20"/>
              </w:rPr>
            </w:pPr>
            <w:r w:rsidRPr="00FA7F91">
              <w:rPr>
                <w:sz w:val="20"/>
                <w:szCs w:val="20"/>
              </w:rPr>
              <w:t>Órdenes para detener una actividad que viola las normas. Indica problemas de cumplimiento no resueltos que deben abordarse con urgencia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157A6E40" w14:textId="77777777" w:rsidTr="00792130">
        <w:trPr>
          <w:trHeight w:val="513"/>
        </w:trPr>
        <w:tc>
          <w:tcPr>
            <w:tcW w:w="2782" w:type="dxa"/>
            <w:vMerge/>
            <w:vAlign w:val="center"/>
            <w:hideMark/>
          </w:tcPr>
          <w:p w14:paraId="3256C20A" w14:textId="77777777" w:rsidR="00EB618C" w:rsidRPr="004B6089" w:rsidRDefault="00EB618C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EC6E2" w14:textId="55E396FA" w:rsidR="00EB618C" w:rsidRPr="004B6089" w:rsidRDefault="00EB618C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="00D32578" w:rsidRPr="00D32578">
              <w:rPr>
                <w:sz w:val="20"/>
                <w:szCs w:val="20"/>
              </w:rPr>
              <w:t xml:space="preserve">órdenes de programación de tiempo activas </w:t>
            </w:r>
            <w:r w:rsidR="00D32578">
              <w:rPr>
                <w:sz w:val="20"/>
                <w:szCs w:val="20"/>
              </w:rPr>
              <w:t>(</w:t>
            </w:r>
            <w:r w:rsidRPr="004B6089">
              <w:rPr>
                <w:sz w:val="20"/>
                <w:szCs w:val="20"/>
              </w:rPr>
              <w:t>Time Schedule Orders</w:t>
            </w:r>
            <w:r w:rsidR="00D32578">
              <w:rPr>
                <w:sz w:val="20"/>
                <w:szCs w:val="20"/>
              </w:rPr>
              <w:t xml:space="preserve">, </w:t>
            </w:r>
            <w:r w:rsidRPr="004B6089">
              <w:rPr>
                <w:sz w:val="20"/>
                <w:szCs w:val="20"/>
              </w:rPr>
              <w:t>TSOs)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0B05B" w14:textId="37470180" w:rsidR="00EB618C" w:rsidRPr="004B6089" w:rsidRDefault="00D32578" w:rsidP="00792130">
            <w:pPr>
              <w:spacing w:line="240" w:lineRule="auto"/>
              <w:rPr>
                <w:sz w:val="20"/>
                <w:szCs w:val="20"/>
              </w:rPr>
            </w:pPr>
            <w:r w:rsidRPr="00D32578">
              <w:rPr>
                <w:sz w:val="20"/>
                <w:szCs w:val="20"/>
              </w:rPr>
              <w:t>Requiere un sistema para delinear un plan para abordar las infracciones. Indica problemas de cumplimiento no resueltos y la necesidad de mejoras o actualizaciones dentro de un plazo específico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0226E51E" w14:textId="77777777" w:rsidTr="00792130">
        <w:trPr>
          <w:trHeight w:val="469"/>
        </w:trPr>
        <w:tc>
          <w:tcPr>
            <w:tcW w:w="2782" w:type="dxa"/>
            <w:vMerge/>
            <w:vAlign w:val="center"/>
            <w:hideMark/>
          </w:tcPr>
          <w:p w14:paraId="14E442E7" w14:textId="77777777" w:rsidR="00EB618C" w:rsidRPr="004B6089" w:rsidRDefault="00EB618C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74D7F" w14:textId="033F88CE" w:rsidR="00EB618C" w:rsidRPr="004B6089" w:rsidRDefault="0053615E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Pr="0053615E">
              <w:rPr>
                <w:sz w:val="20"/>
                <w:szCs w:val="20"/>
              </w:rPr>
              <w:t xml:space="preserve">órdenes de limpieza y eliminación activas </w:t>
            </w:r>
            <w:r>
              <w:rPr>
                <w:sz w:val="20"/>
                <w:szCs w:val="20"/>
              </w:rPr>
              <w:t>(</w:t>
            </w:r>
            <w:r w:rsidR="00EB618C" w:rsidRPr="004B6089">
              <w:rPr>
                <w:sz w:val="20"/>
                <w:szCs w:val="20"/>
              </w:rPr>
              <w:t xml:space="preserve">Cleanup </w:t>
            </w:r>
            <w:r w:rsidR="00EB618C">
              <w:rPr>
                <w:sz w:val="20"/>
                <w:szCs w:val="20"/>
              </w:rPr>
              <w:t>&amp;</w:t>
            </w:r>
            <w:r w:rsidR="00EB618C" w:rsidRPr="004B6089">
              <w:rPr>
                <w:sz w:val="20"/>
                <w:szCs w:val="20"/>
              </w:rPr>
              <w:t xml:space="preserve"> Abatement Orders</w:t>
            </w:r>
            <w:r>
              <w:rPr>
                <w:sz w:val="20"/>
                <w:szCs w:val="20"/>
              </w:rPr>
              <w:t xml:space="preserve">, </w:t>
            </w:r>
            <w:r w:rsidR="00EB618C" w:rsidRPr="004B6089">
              <w:rPr>
                <w:sz w:val="20"/>
                <w:szCs w:val="20"/>
              </w:rPr>
              <w:t>CAOs)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4AFBE" w14:textId="7D5F6089" w:rsidR="00EB618C" w:rsidRPr="004B6089" w:rsidRDefault="000E03FB" w:rsidP="00792130">
            <w:pPr>
              <w:spacing w:line="240" w:lineRule="auto"/>
              <w:rPr>
                <w:sz w:val="20"/>
                <w:szCs w:val="20"/>
              </w:rPr>
            </w:pPr>
            <w:r w:rsidRPr="000E03FB">
              <w:rPr>
                <w:sz w:val="20"/>
                <w:szCs w:val="20"/>
              </w:rPr>
              <w:t>Requiere la limpieza de una descarga de desechos peligrosos o contaminación que crea o amenaza con crear una condición de contaminación o molestia. Indica problemas de cumplimiento no resueltos que requieren la limpieza inmediata de la contaminación para evitar daños adicionales</w:t>
            </w:r>
            <w:r w:rsidR="00EB618C">
              <w:rPr>
                <w:sz w:val="20"/>
                <w:szCs w:val="20"/>
              </w:rPr>
              <w:t>.</w:t>
            </w:r>
          </w:p>
        </w:tc>
      </w:tr>
      <w:tr w:rsidR="00EB618C" w:rsidRPr="004B6089" w14:paraId="2BDBF1BB" w14:textId="77777777" w:rsidTr="00792130">
        <w:trPr>
          <w:trHeight w:val="469"/>
        </w:trPr>
        <w:tc>
          <w:tcPr>
            <w:tcW w:w="2782" w:type="dxa"/>
            <w:vMerge/>
            <w:vAlign w:val="center"/>
          </w:tcPr>
          <w:p w14:paraId="29306241" w14:textId="77777777" w:rsidR="00EB618C" w:rsidRPr="004B6089" w:rsidRDefault="00EB618C" w:rsidP="007921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60D7D" w14:textId="250AEE96" w:rsidR="00EB618C" w:rsidRDefault="00EB618C" w:rsidP="007921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1+ </w:t>
            </w:r>
            <w:r w:rsidR="00D32578">
              <w:t xml:space="preserve"> </w:t>
            </w:r>
            <w:r w:rsidR="00D32578" w:rsidRPr="00D32578">
              <w:rPr>
                <w:sz w:val="20"/>
                <w:szCs w:val="20"/>
              </w:rPr>
              <w:t xml:space="preserve">Órdenes de limpieza y eliminación activas </w:t>
            </w:r>
            <w:r w:rsidR="00D325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Administrative Civil Liability Order</w:t>
            </w:r>
            <w:r w:rsidR="00D325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ACLO)</w:t>
            </w:r>
          </w:p>
        </w:tc>
        <w:tc>
          <w:tcPr>
            <w:tcW w:w="6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055E4" w14:textId="51CFC4C3" w:rsidR="00EB618C" w:rsidRPr="004B6089" w:rsidRDefault="00D32578" w:rsidP="00792130">
            <w:pPr>
              <w:spacing w:line="240" w:lineRule="auto"/>
              <w:rPr>
                <w:sz w:val="20"/>
                <w:szCs w:val="20"/>
              </w:rPr>
            </w:pPr>
            <w:r w:rsidRPr="00D32578">
              <w:rPr>
                <w:sz w:val="20"/>
                <w:szCs w:val="20"/>
              </w:rPr>
              <w:t>Implementa una sanción económica por infringir las normas. Indica problemas de cumplimiento no resueltos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BAA380E" w14:textId="39A6A572" w:rsidR="00792130" w:rsidRPr="00FB28A2" w:rsidRDefault="00792130" w:rsidP="00792130">
      <w:pPr>
        <w:rPr>
          <w:b/>
          <w:bCs/>
          <w:sz w:val="22"/>
          <w:szCs w:val="22"/>
        </w:rPr>
      </w:pPr>
    </w:p>
    <w:p w14:paraId="1B197252" w14:textId="05C30CDB" w:rsidR="00792130" w:rsidRDefault="00792130" w:rsidP="00792130">
      <w:pPr>
        <w:rPr>
          <w:b/>
          <w:bCs/>
        </w:rPr>
      </w:pPr>
    </w:p>
    <w:tbl>
      <w:tblPr>
        <w:tblpPr w:leftFromText="180" w:rightFromText="180" w:vertAnchor="text" w:horzAnchor="margin" w:tblpXSpec="center" w:tblpY="-41"/>
        <w:tblW w:w="11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7740"/>
      </w:tblGrid>
      <w:tr w:rsidR="00792130" w:rsidRPr="004B6089" w14:paraId="686AC5B3" w14:textId="77777777" w:rsidTr="00EB618C">
        <w:trPr>
          <w:trHeight w:val="315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35299" w14:textId="29229662" w:rsidR="00792130" w:rsidRPr="004B6089" w:rsidRDefault="001B2322" w:rsidP="00EB618C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B2322">
              <w:rPr>
                <w:b/>
                <w:bCs/>
                <w:color w:val="FFFFFF" w:themeColor="background1"/>
                <w:sz w:val="22"/>
                <w:szCs w:val="22"/>
              </w:rPr>
              <w:t>Métricas individuales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483A2" w14:textId="40F04D31" w:rsidR="00792130" w:rsidRPr="004B6089" w:rsidRDefault="001B2322" w:rsidP="00EB618C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B2322">
              <w:rPr>
                <w:b/>
                <w:bCs/>
                <w:color w:val="FFFFFF" w:themeColor="background1"/>
                <w:sz w:val="22"/>
                <w:szCs w:val="22"/>
              </w:rPr>
              <w:t>Descripción</w:t>
            </w:r>
          </w:p>
        </w:tc>
      </w:tr>
      <w:tr w:rsidR="00792130" w:rsidRPr="004B6089" w14:paraId="5B66AFF9" w14:textId="77777777" w:rsidTr="00EB618C">
        <w:trPr>
          <w:trHeight w:val="262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F5AC9" w14:textId="0B2891A8" w:rsidR="00792130" w:rsidRPr="004B6089" w:rsidRDefault="0050783D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783D">
              <w:rPr>
                <w:sz w:val="20"/>
                <w:szCs w:val="20"/>
              </w:rPr>
              <w:t>Violación de descarga no autorizada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ACD67" w14:textId="1B9C90A7" w:rsidR="00792130" w:rsidRPr="004B6089" w:rsidRDefault="0050783D" w:rsidP="00EB618C">
            <w:pPr>
              <w:spacing w:line="240" w:lineRule="auto"/>
              <w:rPr>
                <w:sz w:val="20"/>
                <w:szCs w:val="20"/>
              </w:rPr>
            </w:pPr>
            <w:r w:rsidRPr="0050783D">
              <w:rPr>
                <w:sz w:val="20"/>
                <w:szCs w:val="20"/>
              </w:rPr>
              <w:t>Descargas sin WDR o descargas distintas a las descritas en una orden</w:t>
            </w:r>
            <w:r w:rsidR="00792130">
              <w:rPr>
                <w:sz w:val="20"/>
                <w:szCs w:val="20"/>
              </w:rPr>
              <w:t>.</w:t>
            </w:r>
          </w:p>
        </w:tc>
      </w:tr>
      <w:tr w:rsidR="00792130" w:rsidRPr="004B6089" w14:paraId="769C2569" w14:textId="77777777" w:rsidTr="00EB618C">
        <w:trPr>
          <w:trHeight w:val="136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9CF35" w14:textId="79659694" w:rsidR="00792130" w:rsidRPr="004B6089" w:rsidRDefault="0050783D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783D">
              <w:rPr>
                <w:sz w:val="20"/>
                <w:szCs w:val="20"/>
              </w:rPr>
              <w:t>Informe de violación deficiente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DF60" w14:textId="0B152FE0" w:rsidR="00792130" w:rsidRPr="004B6089" w:rsidRDefault="0050783D" w:rsidP="00EB618C">
            <w:pPr>
              <w:spacing w:line="240" w:lineRule="auto"/>
              <w:rPr>
                <w:sz w:val="20"/>
                <w:szCs w:val="20"/>
              </w:rPr>
            </w:pPr>
            <w:r w:rsidRPr="0050783D">
              <w:rPr>
                <w:sz w:val="20"/>
                <w:szCs w:val="20"/>
              </w:rPr>
              <w:t>Informe incompleto; falta de notificación según requisito</w:t>
            </w:r>
            <w:r w:rsidR="00792130">
              <w:rPr>
                <w:sz w:val="20"/>
                <w:szCs w:val="20"/>
              </w:rPr>
              <w:t>.</w:t>
            </w:r>
          </w:p>
        </w:tc>
      </w:tr>
      <w:tr w:rsidR="00792130" w:rsidRPr="004B6089" w14:paraId="4B375AE0" w14:textId="77777777" w:rsidTr="00EB618C">
        <w:trPr>
          <w:trHeight w:val="478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2E8B" w14:textId="1AE4338C" w:rsidR="00792130" w:rsidRPr="004B6089" w:rsidRDefault="00EA6B7B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6B7B">
              <w:rPr>
                <w:sz w:val="20"/>
                <w:szCs w:val="20"/>
              </w:rPr>
              <w:t>Violación en Cuerpo de Agua Receptor – Aguas Subterráneas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A7F03" w14:textId="496F02DE" w:rsidR="00792130" w:rsidRPr="004B6089" w:rsidRDefault="00EA6B7B" w:rsidP="00EB618C">
            <w:pPr>
              <w:spacing w:line="240" w:lineRule="auto"/>
              <w:rPr>
                <w:sz w:val="20"/>
                <w:szCs w:val="20"/>
              </w:rPr>
            </w:pPr>
            <w:r w:rsidRPr="00EA6B7B">
              <w:rPr>
                <w:sz w:val="20"/>
                <w:szCs w:val="20"/>
              </w:rPr>
              <w:t>Violación de la limitación de agua de recepción cuando la descarga se realiza a aguas subterráneas. Violación del plan de cuencas de aguas subterráneas</w:t>
            </w:r>
            <w:r w:rsidR="00792130" w:rsidRPr="00520B3B">
              <w:rPr>
                <w:sz w:val="20"/>
                <w:szCs w:val="20"/>
              </w:rPr>
              <w:t>.</w:t>
            </w:r>
          </w:p>
        </w:tc>
      </w:tr>
      <w:tr w:rsidR="00792130" w:rsidRPr="004B6089" w14:paraId="681A5245" w14:textId="77777777" w:rsidTr="00EB618C">
        <w:trPr>
          <w:trHeight w:val="199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6137A" w14:textId="2E5F3E72" w:rsidR="00792130" w:rsidRPr="004B6089" w:rsidRDefault="00620887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0887">
              <w:rPr>
                <w:sz w:val="20"/>
                <w:szCs w:val="20"/>
              </w:rPr>
              <w:t>Violación de flujo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5E976" w14:textId="56A52D10" w:rsidR="00792130" w:rsidRPr="004B6089" w:rsidRDefault="00620887" w:rsidP="00EB618C">
            <w:pPr>
              <w:spacing w:line="240" w:lineRule="auto"/>
              <w:rPr>
                <w:sz w:val="20"/>
                <w:szCs w:val="20"/>
              </w:rPr>
            </w:pPr>
            <w:r w:rsidRPr="00620887">
              <w:rPr>
                <w:sz w:val="20"/>
                <w:szCs w:val="20"/>
              </w:rPr>
              <w:t>Sistema que viola el límite de flujo de entrada permitido</w:t>
            </w:r>
            <w:r w:rsidR="00792130" w:rsidRPr="00520B3B">
              <w:rPr>
                <w:sz w:val="20"/>
                <w:szCs w:val="20"/>
              </w:rPr>
              <w:t>.</w:t>
            </w:r>
          </w:p>
        </w:tc>
      </w:tr>
      <w:tr w:rsidR="00792130" w:rsidRPr="004B6089" w14:paraId="3253D4FA" w14:textId="77777777" w:rsidTr="00EB618C">
        <w:trPr>
          <w:trHeight w:val="163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30B64" w14:textId="37F40E01" w:rsidR="00792130" w:rsidRPr="004B6089" w:rsidRDefault="00620887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0887">
              <w:rPr>
                <w:sz w:val="20"/>
                <w:szCs w:val="20"/>
              </w:rPr>
              <w:t xml:space="preserve">Violación de sólidos suspendidos totales </w:t>
            </w:r>
            <w:r>
              <w:rPr>
                <w:sz w:val="20"/>
                <w:szCs w:val="20"/>
              </w:rPr>
              <w:t>(</w:t>
            </w:r>
            <w:r w:rsidR="00792130" w:rsidRPr="0013127E">
              <w:rPr>
                <w:sz w:val="20"/>
                <w:szCs w:val="20"/>
              </w:rPr>
              <w:t>Total Suspended Solids</w:t>
            </w:r>
            <w:r>
              <w:rPr>
                <w:sz w:val="20"/>
                <w:szCs w:val="20"/>
              </w:rPr>
              <w:t xml:space="preserve">, </w:t>
            </w:r>
            <w:r w:rsidR="00792130" w:rsidRPr="0013127E">
              <w:rPr>
                <w:sz w:val="20"/>
                <w:szCs w:val="20"/>
              </w:rPr>
              <w:t>TSS)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8CB80" w14:textId="5539C913" w:rsidR="00792130" w:rsidRPr="004B6089" w:rsidRDefault="00620887" w:rsidP="00EB618C">
            <w:pPr>
              <w:spacing w:line="240" w:lineRule="auto"/>
              <w:rPr>
                <w:sz w:val="20"/>
                <w:szCs w:val="20"/>
              </w:rPr>
            </w:pPr>
            <w:r w:rsidRPr="00620887">
              <w:rPr>
                <w:sz w:val="20"/>
                <w:szCs w:val="20"/>
              </w:rPr>
              <w:t>Eliminación inadecuada de partículas sólidas suspendidas en el agua durante el tratamiento</w:t>
            </w:r>
            <w:r w:rsidR="00792130">
              <w:rPr>
                <w:sz w:val="20"/>
                <w:szCs w:val="20"/>
              </w:rPr>
              <w:t>.</w:t>
            </w:r>
          </w:p>
        </w:tc>
      </w:tr>
      <w:tr w:rsidR="00792130" w:rsidRPr="004B6089" w14:paraId="7E821D33" w14:textId="77777777" w:rsidTr="00EB618C">
        <w:trPr>
          <w:trHeight w:val="415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E4EBD" w14:textId="062984F5" w:rsidR="00792130" w:rsidRPr="004B6089" w:rsidRDefault="006D287F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0887">
              <w:rPr>
                <w:sz w:val="20"/>
                <w:szCs w:val="20"/>
              </w:rPr>
              <w:t xml:space="preserve">Violación de </w:t>
            </w:r>
            <w:r>
              <w:t xml:space="preserve"> </w:t>
            </w:r>
            <w:r w:rsidRPr="006D287F">
              <w:rPr>
                <w:sz w:val="20"/>
                <w:szCs w:val="20"/>
              </w:rPr>
              <w:t xml:space="preserve">Nitrógeno Kjeldahl total </w:t>
            </w:r>
            <w:r>
              <w:rPr>
                <w:sz w:val="20"/>
                <w:szCs w:val="20"/>
              </w:rPr>
              <w:t>(</w:t>
            </w:r>
            <w:r w:rsidR="00792130" w:rsidRPr="0013127E">
              <w:rPr>
                <w:sz w:val="20"/>
                <w:szCs w:val="20"/>
              </w:rPr>
              <w:t>Total Kjeldahl Nitrogen</w:t>
            </w:r>
            <w:r>
              <w:rPr>
                <w:sz w:val="20"/>
                <w:szCs w:val="20"/>
              </w:rPr>
              <w:t xml:space="preserve">, </w:t>
            </w:r>
            <w:r w:rsidR="00792130" w:rsidRPr="0013127E">
              <w:rPr>
                <w:sz w:val="20"/>
                <w:szCs w:val="20"/>
              </w:rPr>
              <w:t xml:space="preserve">TKN) </w:t>
            </w:r>
            <w:r>
              <w:rPr>
                <w:sz w:val="20"/>
                <w:szCs w:val="20"/>
              </w:rPr>
              <w:t>como</w:t>
            </w:r>
            <w:r>
              <w:t xml:space="preserve"> </w:t>
            </w:r>
            <w:r w:rsidRPr="006D287F">
              <w:rPr>
                <w:sz w:val="20"/>
                <w:szCs w:val="20"/>
              </w:rPr>
              <w:t xml:space="preserve">infracción </w:t>
            </w:r>
            <w:r w:rsidR="00792130" w:rsidRPr="0013127E">
              <w:rPr>
                <w:sz w:val="20"/>
                <w:szCs w:val="20"/>
              </w:rPr>
              <w:t xml:space="preserve">(N) 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9349" w14:textId="020A0538" w:rsidR="00792130" w:rsidRPr="004B6089" w:rsidRDefault="006D287F" w:rsidP="00EB618C">
            <w:pPr>
              <w:spacing w:line="240" w:lineRule="auto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Indica un proceso de eliminación de nitrógeno inadecuado o una carga excesiva de nitrógeno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0CEEABBA" w14:textId="77777777" w:rsidTr="00EB618C">
        <w:trPr>
          <w:trHeight w:val="496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72AE1" w14:textId="498B9845" w:rsidR="00792130" w:rsidRPr="004B6089" w:rsidRDefault="006D287F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Violación de sólidos sedimentables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4F599" w14:textId="08E3731E" w:rsidR="00792130" w:rsidRPr="004B6089" w:rsidRDefault="006D287F" w:rsidP="00EB618C">
            <w:pPr>
              <w:spacing w:line="240" w:lineRule="auto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Eliminación inadecuada de sólidos orgánicos e inorgánicos durante el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7543880C" w14:textId="77777777" w:rsidTr="00EB618C">
        <w:trPr>
          <w:trHeight w:val="226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EBA70" w14:textId="7E09FCF6" w:rsidR="00792130" w:rsidRPr="0013127E" w:rsidRDefault="006D287F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 xml:space="preserve">Violación de </w:t>
            </w:r>
            <w:r w:rsidR="00792130">
              <w:rPr>
                <w:sz w:val="20"/>
                <w:szCs w:val="20"/>
              </w:rPr>
              <w:t>pH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3398B" w14:textId="3AD9ECE2" w:rsidR="00792130" w:rsidRPr="004B6089" w:rsidRDefault="006D287F" w:rsidP="00EB618C">
            <w:pPr>
              <w:spacing w:line="240" w:lineRule="auto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El pH de la descarga está fuera del rango permitido.</w:t>
            </w:r>
          </w:p>
        </w:tc>
      </w:tr>
      <w:tr w:rsidR="00792130" w:rsidRPr="004B6089" w14:paraId="6C562965" w14:textId="77777777" w:rsidTr="00EB618C">
        <w:trPr>
          <w:trHeight w:val="469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72C9F" w14:textId="4991924A" w:rsidR="00792130" w:rsidRPr="0013127E" w:rsidRDefault="006D287F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Violación de aceite y grasa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797C6" w14:textId="0B2712D1" w:rsidR="00792130" w:rsidRPr="004B6089" w:rsidRDefault="006D287F" w:rsidP="00EB618C">
            <w:pPr>
              <w:spacing w:line="240" w:lineRule="auto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Eliminación ineficiente de compuestos de aceite y grasa durante el tratamiento</w:t>
            </w:r>
            <w:r w:rsidR="00792130">
              <w:rPr>
                <w:sz w:val="20"/>
                <w:szCs w:val="20"/>
              </w:rPr>
              <w:t>.</w:t>
            </w:r>
          </w:p>
        </w:tc>
      </w:tr>
      <w:tr w:rsidR="00792130" w:rsidRPr="004B6089" w14:paraId="688D6179" w14:textId="77777777" w:rsidTr="00EB618C">
        <w:trPr>
          <w:trHeight w:val="126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EF6CF" w14:textId="6D056BA3" w:rsidR="00792130" w:rsidRPr="0013127E" w:rsidRDefault="006D287F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Violación de Nitrógeno, total (como N); Nitrito más nitrato (como N); Nitrato, total (como NO3); Nitrato, total (como 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F4B6C" w14:textId="5F46F1E6" w:rsidR="00792130" w:rsidRPr="004B6089" w:rsidRDefault="006D287F" w:rsidP="00EB618C">
            <w:pPr>
              <w:spacing w:line="240" w:lineRule="auto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>Eliminación inadecuada de nitrógeno durante el tratamiento</w:t>
            </w:r>
            <w:r w:rsidR="00792130" w:rsidRPr="7868CEFD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6AF5B0B5" w14:textId="77777777" w:rsidTr="00EB618C">
        <w:trPr>
          <w:trHeight w:val="253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146BC" w14:textId="4502F6F8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87F">
              <w:rPr>
                <w:sz w:val="20"/>
                <w:szCs w:val="20"/>
              </w:rPr>
              <w:t xml:space="preserve">Violación de </w:t>
            </w:r>
            <w:r>
              <w:rPr>
                <w:sz w:val="20"/>
                <w:szCs w:val="20"/>
              </w:rPr>
              <w:t xml:space="preserve">la </w:t>
            </w:r>
            <w:r w:rsidRPr="003313AA">
              <w:rPr>
                <w:sz w:val="20"/>
                <w:szCs w:val="20"/>
              </w:rPr>
              <w:t>Demanda bioquímica de oxígeno carbonoso (CBOD), violación del porcentaje de eliminación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363B9" w14:textId="7F6137B5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Ineficiencias en la reducción de la contaminación orgánica en las plantas de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3E8DB647" w14:textId="77777777" w:rsidTr="00EB618C">
        <w:trPr>
          <w:trHeight w:val="226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8FD4C" w14:textId="09246B05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Violación de la demanda bioquímica de oxígeno carbonoso ( Carbonaceous Biochemical Oxygen Demand</w:t>
            </w:r>
            <w:r>
              <w:rPr>
                <w:sz w:val="20"/>
                <w:szCs w:val="20"/>
              </w:rPr>
              <w:t xml:space="preserve">, </w:t>
            </w:r>
            <w:r w:rsidRPr="003313AA">
              <w:rPr>
                <w:sz w:val="20"/>
                <w:szCs w:val="20"/>
              </w:rPr>
              <w:t>CBOD)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A3C08" w14:textId="3B21AEC3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Eliminación inadecuada de materia orgánica durante el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0C949210" w14:textId="77777777" w:rsidTr="00EB618C">
        <w:trPr>
          <w:trHeight w:val="289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6A48C" w14:textId="54859985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Violación de la demanda bioquímica de oxígeno (</w:t>
            </w:r>
            <w:r w:rsidRPr="0013127E">
              <w:rPr>
                <w:sz w:val="20"/>
                <w:szCs w:val="20"/>
              </w:rPr>
              <w:t xml:space="preserve"> Biochemical Oxygen Demand</w:t>
            </w:r>
            <w:r>
              <w:rPr>
                <w:sz w:val="20"/>
                <w:szCs w:val="20"/>
              </w:rPr>
              <w:t>, BOD</w:t>
            </w:r>
            <w:r w:rsidRPr="003313AA">
              <w:rPr>
                <w:sz w:val="20"/>
                <w:szCs w:val="20"/>
              </w:rPr>
              <w:t>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37821" w14:textId="71F26683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Tratamiento inadecuado o residuos orgánicos durante el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2DBA1BD9" w14:textId="77777777" w:rsidTr="00EB618C">
        <w:trPr>
          <w:trHeight w:val="523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41DE5" w14:textId="511A9874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Violación de Amoniaco</w:t>
            </w:r>
            <w:r>
              <w:rPr>
                <w:sz w:val="20"/>
                <w:szCs w:val="20"/>
              </w:rPr>
              <w:t xml:space="preserve"> </w:t>
            </w:r>
            <w:r w:rsidRPr="003313AA">
              <w:rPr>
                <w:sz w:val="20"/>
                <w:szCs w:val="20"/>
              </w:rPr>
              <w:t>total (como N)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BA8DE" w14:textId="49B9EAF9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Eliminación inadecuada de amoniaco durante el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6994273F" w14:textId="77777777" w:rsidTr="00EB618C">
        <w:trPr>
          <w:trHeight w:val="559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B2D72" w14:textId="5E9E8202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Violación de Amoniaco sindicalizad</w:t>
            </w:r>
            <w:r>
              <w:rPr>
                <w:sz w:val="20"/>
                <w:szCs w:val="20"/>
              </w:rPr>
              <w:t>o</w:t>
            </w:r>
            <w:r w:rsidRPr="003313AA">
              <w:rPr>
                <w:sz w:val="20"/>
                <w:szCs w:val="20"/>
              </w:rPr>
              <w:t xml:space="preserve"> (como N)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518C" w14:textId="29F64C7E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Eliminación inadecuada de amoniaco durante el tratamiento</w:t>
            </w:r>
            <w:r w:rsidR="00792130">
              <w:rPr>
                <w:sz w:val="20"/>
                <w:szCs w:val="20"/>
              </w:rPr>
              <w:t xml:space="preserve">. </w:t>
            </w:r>
          </w:p>
        </w:tc>
      </w:tr>
      <w:tr w:rsidR="00792130" w:rsidRPr="004B6089" w14:paraId="37B4C485" w14:textId="77777777" w:rsidTr="00EB618C">
        <w:trPr>
          <w:trHeight w:val="550"/>
        </w:trPr>
        <w:tc>
          <w:tcPr>
            <w:tcW w:w="4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28F59" w14:textId="7C0F2E78" w:rsidR="00792130" w:rsidRPr="0013127E" w:rsidRDefault="003313AA" w:rsidP="00EB61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Violación de Enterococos; E. coli;  coliformes fecales</w:t>
            </w:r>
          </w:p>
        </w:tc>
        <w:tc>
          <w:tcPr>
            <w:tcW w:w="7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24604" w14:textId="7DBB9531" w:rsidR="00792130" w:rsidRPr="004B6089" w:rsidRDefault="003313AA" w:rsidP="00EB618C">
            <w:pPr>
              <w:spacing w:line="240" w:lineRule="auto"/>
              <w:rPr>
                <w:sz w:val="20"/>
                <w:szCs w:val="20"/>
              </w:rPr>
            </w:pPr>
            <w:r w:rsidRPr="003313AA">
              <w:rPr>
                <w:sz w:val="20"/>
                <w:szCs w:val="20"/>
              </w:rPr>
              <w:t>Eliminación inadecuada de la contaminación fecal durante el tratamiento</w:t>
            </w:r>
            <w:r w:rsidR="00792130" w:rsidRPr="7868CEFD">
              <w:rPr>
                <w:sz w:val="20"/>
                <w:szCs w:val="20"/>
              </w:rPr>
              <w:t xml:space="preserve">. </w:t>
            </w:r>
          </w:p>
        </w:tc>
      </w:tr>
    </w:tbl>
    <w:p w14:paraId="69E4DAD1" w14:textId="373D9CD1" w:rsidR="00792130" w:rsidRDefault="00792130" w:rsidP="0079213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6334" wp14:editId="2CF3D262">
                <wp:simplePos x="0" y="0"/>
                <wp:positionH relativeFrom="page">
                  <wp:posOffset>255814</wp:posOffset>
                </wp:positionH>
                <wp:positionV relativeFrom="paragraph">
                  <wp:posOffset>-391886</wp:posOffset>
                </wp:positionV>
                <wp:extent cx="6428015" cy="327751"/>
                <wp:effectExtent l="0" t="0" r="11430" b="15240"/>
                <wp:wrapNone/>
                <wp:docPr id="7281323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15" cy="3277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5031" w14:textId="39D973A4" w:rsidR="00792130" w:rsidRPr="00792130" w:rsidRDefault="001B2322" w:rsidP="001B23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2130">
                              <w:rPr>
                                <w:b/>
                                <w:bCs/>
                              </w:rPr>
                              <w:t>Tabl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792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92130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9005E">
                              <w:rPr>
                                <w:b/>
                                <w:bCs/>
                              </w:rPr>
                              <w:t xml:space="preserve">Criterios de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 w:rsidRPr="0059005E">
                              <w:rPr>
                                <w:b/>
                                <w:bCs/>
                              </w:rPr>
                              <w:t xml:space="preserve">adecuación de las 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59005E">
                              <w:rPr>
                                <w:b/>
                                <w:bCs/>
                              </w:rPr>
                              <w:t xml:space="preserve">nstalaciones con 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59005E">
                              <w:rPr>
                                <w:b/>
                                <w:bCs/>
                              </w:rPr>
                              <w:t xml:space="preserve">ermisos </w:t>
                            </w:r>
                            <w:r>
                              <w:rPr>
                                <w:b/>
                                <w:bCs/>
                              </w:rPr>
                              <w:t>WDR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C6334" id="_x0000_s1028" style="position:absolute;margin-left:20.15pt;margin-top:-30.85pt;width:506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" fillcolor="white [3201]" strokecolor="white [3212]" strokeweight="1pt">
                <v:textbox>
                  <w:txbxContent>
                    <w:p w14:paraId="33AF5031" w14:textId="39D973A4" w:rsidR="00792130" w:rsidRPr="00792130" w:rsidRDefault="001B2322" w:rsidP="001B2322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92130">
                        <w:rPr>
                          <w:b/>
                          <w:bCs/>
                        </w:rPr>
                        <w:t>Tabl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proofErr w:type="spellEnd"/>
                      <w:r w:rsidRPr="0079213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792130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9005E">
                        <w:rPr>
                          <w:b/>
                          <w:bCs/>
                        </w:rPr>
                        <w:t>Criterios</w:t>
                      </w:r>
                      <w:proofErr w:type="spellEnd"/>
                      <w:r w:rsidRPr="0059005E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In</w:t>
                      </w:r>
                      <w:r w:rsidRPr="0059005E">
                        <w:rPr>
                          <w:b/>
                          <w:bCs/>
                        </w:rPr>
                        <w:t>adecuación</w:t>
                      </w:r>
                      <w:proofErr w:type="spellEnd"/>
                      <w:r w:rsidRPr="0059005E">
                        <w:rPr>
                          <w:b/>
                          <w:bCs/>
                        </w:rPr>
                        <w:t xml:space="preserve"> de las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</w:t>
                      </w:r>
                      <w:r w:rsidRPr="0059005E">
                        <w:rPr>
                          <w:b/>
                          <w:bCs/>
                        </w:rPr>
                        <w:t>nstalaciones</w:t>
                      </w:r>
                      <w:proofErr w:type="spellEnd"/>
                      <w:r w:rsidRPr="0059005E">
                        <w:rPr>
                          <w:b/>
                          <w:bCs/>
                        </w:rPr>
                        <w:t xml:space="preserve"> con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</w:t>
                      </w:r>
                      <w:r w:rsidRPr="0059005E">
                        <w:rPr>
                          <w:b/>
                          <w:bCs/>
                        </w:rPr>
                        <w:t>ermisos</w:t>
                      </w:r>
                      <w:proofErr w:type="spellEnd"/>
                      <w:r w:rsidRPr="0059005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WDR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63F318" w14:textId="77777777" w:rsidR="006B494E" w:rsidRPr="000107CC" w:rsidRDefault="006B494E" w:rsidP="00FB28A2"/>
    <w:sectPr w:rsidR="006B494E" w:rsidRPr="000107CC" w:rsidSect="00A4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82B7" w14:textId="77777777" w:rsidR="007D65A7" w:rsidRDefault="007D65A7" w:rsidP="009066DC">
      <w:pPr>
        <w:spacing w:after="0" w:line="240" w:lineRule="auto"/>
      </w:pPr>
      <w:r>
        <w:separator/>
      </w:r>
    </w:p>
  </w:endnote>
  <w:endnote w:type="continuationSeparator" w:id="0">
    <w:p w14:paraId="31D38073" w14:textId="77777777" w:rsidR="007D65A7" w:rsidRDefault="007D65A7" w:rsidP="0090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altName w:val="Tahom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E7B0" w14:textId="77777777" w:rsidR="00266CD9" w:rsidRDefault="00266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583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ADB59" w14:textId="092CCD06" w:rsidR="00266CD9" w:rsidRDefault="00266CD9">
        <w:pPr>
          <w:pStyle w:val="Footer"/>
          <w:jc w:val="right"/>
        </w:pPr>
        <w:r w:rsidRPr="00266CD9">
          <w:rPr>
            <w:sz w:val="22"/>
            <w:szCs w:val="22"/>
          </w:rPr>
          <w:fldChar w:fldCharType="begin"/>
        </w:r>
        <w:r w:rsidRPr="00266CD9">
          <w:rPr>
            <w:sz w:val="22"/>
            <w:szCs w:val="22"/>
          </w:rPr>
          <w:instrText xml:space="preserve"> PAGE   \* MERGEFORMAT </w:instrText>
        </w:r>
        <w:r w:rsidRPr="00266CD9">
          <w:rPr>
            <w:sz w:val="22"/>
            <w:szCs w:val="22"/>
          </w:rPr>
          <w:fldChar w:fldCharType="separate"/>
        </w:r>
        <w:r w:rsidRPr="00266CD9">
          <w:rPr>
            <w:noProof/>
            <w:sz w:val="22"/>
            <w:szCs w:val="22"/>
          </w:rPr>
          <w:t>2</w:t>
        </w:r>
        <w:r w:rsidRPr="00266CD9">
          <w:rPr>
            <w:noProof/>
            <w:sz w:val="22"/>
            <w:szCs w:val="22"/>
          </w:rPr>
          <w:fldChar w:fldCharType="end"/>
        </w:r>
      </w:p>
    </w:sdtContent>
  </w:sdt>
  <w:p w14:paraId="340BFC79" w14:textId="77777777" w:rsidR="00266CD9" w:rsidRDefault="00266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3AFA" w14:textId="77777777" w:rsidR="00266CD9" w:rsidRDefault="0026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1140" w14:textId="77777777" w:rsidR="007D65A7" w:rsidRDefault="007D65A7" w:rsidP="009066DC">
      <w:pPr>
        <w:spacing w:after="0" w:line="240" w:lineRule="auto"/>
      </w:pPr>
      <w:r>
        <w:separator/>
      </w:r>
    </w:p>
  </w:footnote>
  <w:footnote w:type="continuationSeparator" w:id="0">
    <w:p w14:paraId="1BE9031E" w14:textId="77777777" w:rsidR="007D65A7" w:rsidRDefault="007D65A7" w:rsidP="009066DC">
      <w:pPr>
        <w:spacing w:after="0" w:line="240" w:lineRule="auto"/>
      </w:pPr>
      <w:r>
        <w:continuationSeparator/>
      </w:r>
    </w:p>
  </w:footnote>
  <w:footnote w:id="1">
    <w:p w14:paraId="0C50A09A" w14:textId="250B8999" w:rsidR="00FC20AD" w:rsidRDefault="00FC20AD">
      <w:pPr>
        <w:pStyle w:val="FootnoteText"/>
      </w:pPr>
      <w:r>
        <w:rPr>
          <w:rStyle w:val="FootnoteReference"/>
        </w:rPr>
        <w:footnoteRef/>
      </w:r>
      <w:r w:rsidR="00937BEA" w:rsidRPr="00937BEA">
        <w:t xml:space="preserve">Tipos de sistemas incluidos en la WWNA: Plantas de tratamiento públicas: ciudades y distritos especiales; Plantas de tratamiento privadas que atienden asentamientos residenciales rurales, parques de casas móviles, etc.; Campos de trabajo para migrantes; Parques de casas rodantes; Hoteles; Prisiones y campos de trabajo/conservación; Escuelas y </w:t>
      </w:r>
      <w:r w:rsidR="00937BEA">
        <w:t>hospitales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8650" w14:textId="77777777" w:rsidR="00266CD9" w:rsidRDefault="00266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5201" w14:textId="77777777" w:rsidR="00266CD9" w:rsidRDefault="00266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E22" w14:textId="77777777" w:rsidR="00266CD9" w:rsidRDefault="00266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6F13"/>
    <w:multiLevelType w:val="hybridMultilevel"/>
    <w:tmpl w:val="F6E2CA6C"/>
    <w:lvl w:ilvl="0" w:tplc="2B64F1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65A6F06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523C56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070000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D10C3F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3918E0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8FAC66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5DF60B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DE90D6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abstractNum w:abstractNumId="1" w15:restartNumberingAfterBreak="0">
    <w:nsid w:val="7C7B5DE0"/>
    <w:multiLevelType w:val="hybridMultilevel"/>
    <w:tmpl w:val="37FAC0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1868624">
    <w:abstractNumId w:val="0"/>
  </w:num>
  <w:num w:numId="2" w16cid:durableId="20205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C"/>
    <w:rsid w:val="000019D3"/>
    <w:rsid w:val="00005AA2"/>
    <w:rsid w:val="000107CC"/>
    <w:rsid w:val="00023B14"/>
    <w:rsid w:val="00023C0C"/>
    <w:rsid w:val="000433EA"/>
    <w:rsid w:val="000506BD"/>
    <w:rsid w:val="00056B39"/>
    <w:rsid w:val="00063F77"/>
    <w:rsid w:val="00070218"/>
    <w:rsid w:val="000702B4"/>
    <w:rsid w:val="00090692"/>
    <w:rsid w:val="000B0604"/>
    <w:rsid w:val="000B3B4F"/>
    <w:rsid w:val="000D10BF"/>
    <w:rsid w:val="000E03FB"/>
    <w:rsid w:val="0010345A"/>
    <w:rsid w:val="001244B2"/>
    <w:rsid w:val="0013127E"/>
    <w:rsid w:val="00166646"/>
    <w:rsid w:val="00175BE9"/>
    <w:rsid w:val="00196EC5"/>
    <w:rsid w:val="001B2322"/>
    <w:rsid w:val="001C29C5"/>
    <w:rsid w:val="00200C59"/>
    <w:rsid w:val="00213C5B"/>
    <w:rsid w:val="00243C69"/>
    <w:rsid w:val="00252C27"/>
    <w:rsid w:val="00266CD9"/>
    <w:rsid w:val="0027478C"/>
    <w:rsid w:val="002A5BD4"/>
    <w:rsid w:val="002B4765"/>
    <w:rsid w:val="002D7549"/>
    <w:rsid w:val="002F6211"/>
    <w:rsid w:val="003016DD"/>
    <w:rsid w:val="003044D4"/>
    <w:rsid w:val="0030631F"/>
    <w:rsid w:val="00317BC1"/>
    <w:rsid w:val="003313AA"/>
    <w:rsid w:val="00344DE1"/>
    <w:rsid w:val="00393915"/>
    <w:rsid w:val="003A4A77"/>
    <w:rsid w:val="003D024F"/>
    <w:rsid w:val="003D0C13"/>
    <w:rsid w:val="003D77D0"/>
    <w:rsid w:val="003E7C41"/>
    <w:rsid w:val="004141F8"/>
    <w:rsid w:val="00426943"/>
    <w:rsid w:val="00446647"/>
    <w:rsid w:val="00451E41"/>
    <w:rsid w:val="00460073"/>
    <w:rsid w:val="004611D6"/>
    <w:rsid w:val="0046192D"/>
    <w:rsid w:val="004722A9"/>
    <w:rsid w:val="00474F6E"/>
    <w:rsid w:val="00480AC5"/>
    <w:rsid w:val="00480B04"/>
    <w:rsid w:val="004B6089"/>
    <w:rsid w:val="004B67A2"/>
    <w:rsid w:val="004E7CC3"/>
    <w:rsid w:val="00501DF9"/>
    <w:rsid w:val="0050563B"/>
    <w:rsid w:val="0050783D"/>
    <w:rsid w:val="00511E39"/>
    <w:rsid w:val="00520B3B"/>
    <w:rsid w:val="00524E31"/>
    <w:rsid w:val="0053615E"/>
    <w:rsid w:val="005423CA"/>
    <w:rsid w:val="00582C5F"/>
    <w:rsid w:val="00587D47"/>
    <w:rsid w:val="0059005E"/>
    <w:rsid w:val="005953DC"/>
    <w:rsid w:val="00596D00"/>
    <w:rsid w:val="005A0CEA"/>
    <w:rsid w:val="005A1575"/>
    <w:rsid w:val="005B2081"/>
    <w:rsid w:val="005C0355"/>
    <w:rsid w:val="005C1BB7"/>
    <w:rsid w:val="0061473D"/>
    <w:rsid w:val="00620887"/>
    <w:rsid w:val="00630864"/>
    <w:rsid w:val="0063357A"/>
    <w:rsid w:val="00643C2D"/>
    <w:rsid w:val="00666DD9"/>
    <w:rsid w:val="006765A2"/>
    <w:rsid w:val="0069337B"/>
    <w:rsid w:val="006B494E"/>
    <w:rsid w:val="006C35F4"/>
    <w:rsid w:val="006D287F"/>
    <w:rsid w:val="006F0029"/>
    <w:rsid w:val="0070063E"/>
    <w:rsid w:val="00720418"/>
    <w:rsid w:val="00730567"/>
    <w:rsid w:val="007325E1"/>
    <w:rsid w:val="00764C75"/>
    <w:rsid w:val="00792130"/>
    <w:rsid w:val="00795DE4"/>
    <w:rsid w:val="007B092A"/>
    <w:rsid w:val="007C023B"/>
    <w:rsid w:val="007C4B44"/>
    <w:rsid w:val="007D65A7"/>
    <w:rsid w:val="00880383"/>
    <w:rsid w:val="0089294D"/>
    <w:rsid w:val="008A23C1"/>
    <w:rsid w:val="008C3991"/>
    <w:rsid w:val="008C4B55"/>
    <w:rsid w:val="008E372A"/>
    <w:rsid w:val="008E6A5B"/>
    <w:rsid w:val="008E7533"/>
    <w:rsid w:val="00901E3B"/>
    <w:rsid w:val="009066DC"/>
    <w:rsid w:val="00914463"/>
    <w:rsid w:val="009301F4"/>
    <w:rsid w:val="00937BEA"/>
    <w:rsid w:val="00943F4B"/>
    <w:rsid w:val="00976F68"/>
    <w:rsid w:val="00A05BAA"/>
    <w:rsid w:val="00A343D6"/>
    <w:rsid w:val="00A42BD8"/>
    <w:rsid w:val="00A501AF"/>
    <w:rsid w:val="00A52FE0"/>
    <w:rsid w:val="00A55CD3"/>
    <w:rsid w:val="00A619D6"/>
    <w:rsid w:val="00A73A9A"/>
    <w:rsid w:val="00A77A1C"/>
    <w:rsid w:val="00A87078"/>
    <w:rsid w:val="00AD2A67"/>
    <w:rsid w:val="00AD4504"/>
    <w:rsid w:val="00AD6A80"/>
    <w:rsid w:val="00B07981"/>
    <w:rsid w:val="00B5403F"/>
    <w:rsid w:val="00B72EDB"/>
    <w:rsid w:val="00BA61D6"/>
    <w:rsid w:val="00BC0BCD"/>
    <w:rsid w:val="00BD0DDB"/>
    <w:rsid w:val="00BE589E"/>
    <w:rsid w:val="00C321E2"/>
    <w:rsid w:val="00C36163"/>
    <w:rsid w:val="00C42F74"/>
    <w:rsid w:val="00C61075"/>
    <w:rsid w:val="00C82542"/>
    <w:rsid w:val="00CB1D3D"/>
    <w:rsid w:val="00CD0475"/>
    <w:rsid w:val="00CD3C70"/>
    <w:rsid w:val="00CE6107"/>
    <w:rsid w:val="00CF4DDC"/>
    <w:rsid w:val="00CF6D2E"/>
    <w:rsid w:val="00D03883"/>
    <w:rsid w:val="00D06FA4"/>
    <w:rsid w:val="00D165C9"/>
    <w:rsid w:val="00D16AA7"/>
    <w:rsid w:val="00D272BD"/>
    <w:rsid w:val="00D32578"/>
    <w:rsid w:val="00D35230"/>
    <w:rsid w:val="00D505E9"/>
    <w:rsid w:val="00D6045B"/>
    <w:rsid w:val="00D60A9F"/>
    <w:rsid w:val="00D67E7D"/>
    <w:rsid w:val="00D97822"/>
    <w:rsid w:val="00DB38A5"/>
    <w:rsid w:val="00DF6DE6"/>
    <w:rsid w:val="00E01C83"/>
    <w:rsid w:val="00E079B1"/>
    <w:rsid w:val="00E13325"/>
    <w:rsid w:val="00E15143"/>
    <w:rsid w:val="00E342A5"/>
    <w:rsid w:val="00E54BCF"/>
    <w:rsid w:val="00E55033"/>
    <w:rsid w:val="00E70B99"/>
    <w:rsid w:val="00E863D0"/>
    <w:rsid w:val="00EA0E74"/>
    <w:rsid w:val="00EA6B7B"/>
    <w:rsid w:val="00EB618C"/>
    <w:rsid w:val="00ED29A2"/>
    <w:rsid w:val="00F11619"/>
    <w:rsid w:val="00F50C69"/>
    <w:rsid w:val="00F72BB0"/>
    <w:rsid w:val="00FA5DFF"/>
    <w:rsid w:val="00FA7F91"/>
    <w:rsid w:val="00FB28A2"/>
    <w:rsid w:val="00FC20AD"/>
    <w:rsid w:val="00FC7C23"/>
    <w:rsid w:val="00FD1923"/>
    <w:rsid w:val="00FE36F0"/>
    <w:rsid w:val="00FE4246"/>
    <w:rsid w:val="3811752B"/>
    <w:rsid w:val="7868C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02F80"/>
  <w15:chartTrackingRefBased/>
  <w15:docId w15:val="{E5D15623-C531-41B3-8B10-6E44641F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5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FE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6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6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66DC"/>
    <w:rPr>
      <w:vertAlign w:val="superscript"/>
    </w:rPr>
  </w:style>
  <w:style w:type="table" w:styleId="TableGrid">
    <w:name w:val="Table Grid"/>
    <w:basedOn w:val="TableNormal"/>
    <w:uiPriority w:val="39"/>
    <w:rsid w:val="0039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933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E31"/>
  </w:style>
  <w:style w:type="paragraph" w:styleId="Footer">
    <w:name w:val="footer"/>
    <w:basedOn w:val="Normal"/>
    <w:link w:val="FooterChar"/>
    <w:uiPriority w:val="99"/>
    <w:unhideWhenUsed/>
    <w:rsid w:val="0052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E31"/>
  </w:style>
  <w:style w:type="paragraph" w:styleId="FootnoteText">
    <w:name w:val="footnote text"/>
    <w:basedOn w:val="Normal"/>
    <w:link w:val="FootnoteTextChar"/>
    <w:uiPriority w:val="99"/>
    <w:semiHidden/>
    <w:unhideWhenUsed/>
    <w:rsid w:val="00FC2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0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0AD"/>
    <w:rPr>
      <w:vertAlign w:val="superscript"/>
    </w:rPr>
  </w:style>
  <w:style w:type="paragraph" w:styleId="Revision">
    <w:name w:val="Revision"/>
    <w:hidden/>
    <w:uiPriority w:val="99"/>
    <w:semiHidden/>
    <w:rsid w:val="00511E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40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0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2ED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7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50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75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9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8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A7D3-55D8-4434-9BFF-1EFC8A20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Pierce</dc:creator>
  <cp:keywords/>
  <dc:description/>
  <cp:lastModifiedBy>Hernandez, Ariana</cp:lastModifiedBy>
  <cp:revision>16</cp:revision>
  <dcterms:created xsi:type="dcterms:W3CDTF">2025-01-13T18:06:00Z</dcterms:created>
  <dcterms:modified xsi:type="dcterms:W3CDTF">2025-01-23T20:53:00Z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5986fa2235cd53a4f7a0a8217718169d2f50fc86ad75dad794ead3bb47c7f773</vt:lpwstr>
  </property>
</Properties>
</file>