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7A824E" w14:textId="64D30333" w:rsidR="002A2D24" w:rsidRPr="00902A39" w:rsidRDefault="2E43A255" w:rsidP="00902A39">
      <w:pPr>
        <w:pStyle w:val="Title"/>
        <w:rPr>
          <w:sz w:val="36"/>
          <w:szCs w:val="36"/>
        </w:rPr>
      </w:pPr>
      <w:r w:rsidRPr="2E43A255">
        <w:rPr>
          <w:sz w:val="36"/>
          <w:szCs w:val="36"/>
        </w:rPr>
        <w:t>Development of Statewide Risk Assessment</w:t>
      </w:r>
      <w:r w:rsidR="008B178D">
        <w:rPr>
          <w:sz w:val="36"/>
          <w:szCs w:val="36"/>
        </w:rPr>
        <w:t xml:space="preserve"> </w:t>
      </w:r>
      <w:r w:rsidRPr="2E43A255">
        <w:rPr>
          <w:sz w:val="36"/>
          <w:szCs w:val="36"/>
        </w:rPr>
        <w:t>for California Wastewater Systems</w:t>
      </w:r>
    </w:p>
    <w:p w14:paraId="7973BFAE" w14:textId="5D4A057A" w:rsidR="00A9494B" w:rsidRDefault="00A9494B">
      <w:r>
        <w:t>EXECUTIVE SUMMARY</w:t>
      </w:r>
    </w:p>
    <w:p w14:paraId="459556E6" w14:textId="77777777" w:rsidR="00902A39" w:rsidRDefault="00902A39"/>
    <w:p w14:paraId="15854247" w14:textId="77777777" w:rsidR="00842670" w:rsidRDefault="00842670">
      <w:pPr>
        <w:rPr>
          <w:u w:val="single"/>
        </w:rPr>
      </w:pPr>
      <w:r>
        <w:rPr>
          <w:u w:val="single"/>
        </w:rPr>
        <w:br w:type="page"/>
      </w:r>
    </w:p>
    <w:p w14:paraId="6DA7B3BF" w14:textId="7E376EEF" w:rsidR="00A9494B" w:rsidRDefault="00A9494B" w:rsidP="00902A39">
      <w:pPr>
        <w:pStyle w:val="Title"/>
        <w:rPr>
          <w:b/>
          <w:bCs/>
          <w:sz w:val="36"/>
          <w:szCs w:val="36"/>
        </w:rPr>
      </w:pPr>
      <w:r w:rsidRPr="00A9494B">
        <w:rPr>
          <w:b/>
          <w:bCs/>
          <w:sz w:val="36"/>
          <w:szCs w:val="36"/>
        </w:rPr>
        <w:lastRenderedPageBreak/>
        <w:t>EXECUTIVE SUMMARY</w:t>
      </w:r>
    </w:p>
    <w:p w14:paraId="5182B530" w14:textId="11F60DCD" w:rsidR="00902A39" w:rsidRPr="00902A39" w:rsidRDefault="2E43A255" w:rsidP="00902A39">
      <w:r>
        <w:t xml:space="preserve">The Risk Assessment is </w:t>
      </w:r>
      <w:r w:rsidR="000F4090">
        <w:t>the second quantitative step</w:t>
      </w:r>
      <w:r>
        <w:t xml:space="preserve"> of the broader Wastewater Needs Assessment (WWNA). The </w:t>
      </w:r>
      <w:bookmarkStart w:id="0" w:name="_Hlk184395881"/>
      <w:r w:rsidR="00041374">
        <w:t>assessment</w:t>
      </w:r>
      <w:r>
        <w:t xml:space="preserve"> </w:t>
      </w:r>
      <w:r w:rsidR="000D404D">
        <w:t>includes</w:t>
      </w:r>
      <w:r>
        <w:t xml:space="preserve"> systems with N</w:t>
      </w:r>
      <w:r w:rsidR="008B178D">
        <w:t xml:space="preserve">ational </w:t>
      </w:r>
      <w:r>
        <w:t>P</w:t>
      </w:r>
      <w:r w:rsidR="008B178D">
        <w:t xml:space="preserve">ollutant </w:t>
      </w:r>
      <w:r>
        <w:t>D</w:t>
      </w:r>
      <w:r w:rsidR="008B178D">
        <w:t xml:space="preserve">ischarge </w:t>
      </w:r>
      <w:r>
        <w:t>E</w:t>
      </w:r>
      <w:r w:rsidR="008B178D">
        <w:t xml:space="preserve">limination </w:t>
      </w:r>
      <w:r>
        <w:t>S</w:t>
      </w:r>
      <w:r w:rsidR="008B178D">
        <w:t>ystem (NPDES)</w:t>
      </w:r>
      <w:r>
        <w:t>, W</w:t>
      </w:r>
      <w:r w:rsidR="008B178D">
        <w:t xml:space="preserve">aste </w:t>
      </w:r>
      <w:r>
        <w:t>D</w:t>
      </w:r>
      <w:r w:rsidR="008B178D">
        <w:t xml:space="preserve">ischarge </w:t>
      </w:r>
      <w:r>
        <w:t>R</w:t>
      </w:r>
      <w:r w:rsidR="008B178D">
        <w:t>equirement (WDR)</w:t>
      </w:r>
      <w:r>
        <w:t>, and S</w:t>
      </w:r>
      <w:r w:rsidR="008B178D">
        <w:t xml:space="preserve">anitation </w:t>
      </w:r>
      <w:r>
        <w:t>S</w:t>
      </w:r>
      <w:r w:rsidR="008B178D">
        <w:t xml:space="preserve">ewer </w:t>
      </w:r>
      <w:r>
        <w:t>O</w:t>
      </w:r>
      <w:r w:rsidR="008B178D">
        <w:t>verflow (SSO)</w:t>
      </w:r>
      <w:r>
        <w:t xml:space="preserve"> permits that meet the </w:t>
      </w:r>
      <w:r w:rsidR="001A1100">
        <w:t xml:space="preserve">WWNA </w:t>
      </w:r>
      <w:r>
        <w:t>inclusion criteria</w:t>
      </w:r>
      <w:r w:rsidR="008B178D">
        <w:rPr>
          <w:rStyle w:val="FootnoteReference"/>
        </w:rPr>
        <w:footnoteReference w:id="1"/>
      </w:r>
      <w:r>
        <w:t>.</w:t>
      </w:r>
      <w:bookmarkEnd w:id="0"/>
    </w:p>
    <w:p w14:paraId="54A7B0EC" w14:textId="53A035DD" w:rsidR="00A9494B" w:rsidRPr="001032DE" w:rsidRDefault="3A9052B0" w:rsidP="0064732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cs="Helvetica Neue"/>
          <w:color w:val="000000"/>
          <w:kern w:val="0"/>
        </w:rPr>
      </w:pPr>
      <w:r w:rsidRPr="001032DE">
        <w:t xml:space="preserve">The purpose of the Risk Assessment is to identify wastewater treatment and collection systems “at-risk” of inadequately treating and disposing of wastewater. The identification of At-Risk wastewater systems will ideally allow the </w:t>
      </w:r>
      <w:r w:rsidR="0058414F" w:rsidRPr="001032DE">
        <w:t xml:space="preserve">State Water Resources Control Board and the Regional Water Quality Control Boards (the Water Boards) </w:t>
      </w:r>
      <w:r w:rsidRPr="001032DE">
        <w:t xml:space="preserve">to proactively target technical assistance and funding toward communities to prevent systems from becoming inadequate. </w:t>
      </w:r>
      <w:r w:rsidR="00647329" w:rsidRPr="001032DE">
        <w:rPr>
          <w:rFonts w:cs="Helvetica Neue"/>
          <w:color w:val="000000"/>
          <w:kern w:val="0"/>
        </w:rPr>
        <w:t>These assessments are crucial for Regional Boards in implementing SB 1215 (septic-to-sewer projects) and assessing the condition of W</w:t>
      </w:r>
      <w:r w:rsidR="001032DE">
        <w:rPr>
          <w:rFonts w:cs="Helvetica Neue"/>
          <w:color w:val="000000"/>
          <w:kern w:val="0"/>
        </w:rPr>
        <w:t>astewater Systems and Facilities</w:t>
      </w:r>
      <w:r w:rsidR="00647329" w:rsidRPr="001032DE">
        <w:rPr>
          <w:rFonts w:cs="Helvetica Neue"/>
          <w:color w:val="000000"/>
          <w:kern w:val="0"/>
        </w:rPr>
        <w:t xml:space="preserve"> in municipalities, districts, and cities. The Risk Assessment analysis will also greatly benefit the State Water Board, when wastewater projects (e.g., Capital Improvement or W</w:t>
      </w:r>
      <w:r w:rsidR="00CF4D1B">
        <w:rPr>
          <w:rFonts w:cs="Helvetica Neue"/>
          <w:color w:val="000000"/>
          <w:kern w:val="0"/>
        </w:rPr>
        <w:t xml:space="preserve">astewater </w:t>
      </w:r>
      <w:r w:rsidR="00647329" w:rsidRPr="001032DE">
        <w:rPr>
          <w:rFonts w:cs="Helvetica Neue"/>
          <w:color w:val="000000"/>
          <w:kern w:val="0"/>
        </w:rPr>
        <w:t>C</w:t>
      </w:r>
      <w:r w:rsidR="00CF4D1B">
        <w:rPr>
          <w:rFonts w:cs="Helvetica Neue"/>
          <w:color w:val="000000"/>
          <w:kern w:val="0"/>
        </w:rPr>
        <w:t>onsolidation</w:t>
      </w:r>
      <w:r w:rsidR="00647329" w:rsidRPr="001032DE">
        <w:rPr>
          <w:rFonts w:cs="Helvetica Neue"/>
          <w:color w:val="000000"/>
          <w:kern w:val="0"/>
        </w:rPr>
        <w:t xml:space="preserve">) are submitted through </w:t>
      </w:r>
      <w:r w:rsidR="00CF4D1B">
        <w:rPr>
          <w:rFonts w:cs="Helvetica Neue"/>
          <w:color w:val="000000"/>
          <w:kern w:val="0"/>
        </w:rPr>
        <w:t xml:space="preserve">the </w:t>
      </w:r>
      <w:r w:rsidR="00647329" w:rsidRPr="001032DE">
        <w:rPr>
          <w:rFonts w:cs="Helvetica Neue"/>
          <w:color w:val="000000"/>
          <w:kern w:val="0"/>
        </w:rPr>
        <w:t>F</w:t>
      </w:r>
      <w:r w:rsidR="00CF4D1B">
        <w:rPr>
          <w:rFonts w:cs="Helvetica Neue"/>
          <w:color w:val="000000"/>
          <w:kern w:val="0"/>
        </w:rPr>
        <w:t xml:space="preserve">inancial </w:t>
      </w:r>
      <w:r w:rsidR="00647329" w:rsidRPr="001032DE">
        <w:rPr>
          <w:rFonts w:cs="Helvetica Neue"/>
          <w:color w:val="000000"/>
          <w:kern w:val="0"/>
        </w:rPr>
        <w:t>A</w:t>
      </w:r>
      <w:r w:rsidR="00CF4D1B">
        <w:rPr>
          <w:rFonts w:cs="Helvetica Neue"/>
          <w:color w:val="000000"/>
          <w:kern w:val="0"/>
        </w:rPr>
        <w:t xml:space="preserve">ssistance </w:t>
      </w:r>
      <w:r w:rsidR="00647329" w:rsidRPr="001032DE">
        <w:rPr>
          <w:rFonts w:cs="Helvetica Neue"/>
          <w:color w:val="000000"/>
          <w:kern w:val="0"/>
        </w:rPr>
        <w:t>A</w:t>
      </w:r>
      <w:r w:rsidR="00CF4D1B">
        <w:rPr>
          <w:rFonts w:cs="Helvetica Neue"/>
          <w:color w:val="000000"/>
          <w:kern w:val="0"/>
        </w:rPr>
        <w:t xml:space="preserve">pplication </w:t>
      </w:r>
      <w:r w:rsidR="00647329" w:rsidRPr="001032DE">
        <w:rPr>
          <w:rFonts w:cs="Helvetica Neue"/>
          <w:color w:val="000000"/>
          <w:kern w:val="0"/>
        </w:rPr>
        <w:t>S</w:t>
      </w:r>
      <w:r w:rsidR="00CF4D1B">
        <w:rPr>
          <w:rFonts w:cs="Helvetica Neue"/>
          <w:color w:val="000000"/>
          <w:kern w:val="0"/>
        </w:rPr>
        <w:t xml:space="preserve">ubmittal </w:t>
      </w:r>
      <w:r w:rsidR="00647329" w:rsidRPr="001032DE">
        <w:rPr>
          <w:rFonts w:cs="Helvetica Neue"/>
          <w:color w:val="000000"/>
          <w:kern w:val="0"/>
        </w:rPr>
        <w:t>T</w:t>
      </w:r>
      <w:r w:rsidR="00CF4D1B">
        <w:rPr>
          <w:rFonts w:cs="Helvetica Neue"/>
          <w:color w:val="000000"/>
          <w:kern w:val="0"/>
        </w:rPr>
        <w:t>ool</w:t>
      </w:r>
      <w:r w:rsidR="00647329" w:rsidRPr="001032DE">
        <w:rPr>
          <w:rFonts w:cs="Helvetica Neue"/>
          <w:color w:val="000000"/>
          <w:kern w:val="0"/>
        </w:rPr>
        <w:t xml:space="preserve"> </w:t>
      </w:r>
      <w:r w:rsidR="00CF4D1B">
        <w:rPr>
          <w:rFonts w:cs="Helvetica Neue"/>
          <w:color w:val="000000"/>
          <w:kern w:val="0"/>
        </w:rPr>
        <w:t xml:space="preserve">(FAAST) </w:t>
      </w:r>
      <w:r w:rsidR="00647329" w:rsidRPr="001032DE">
        <w:rPr>
          <w:rFonts w:cs="Helvetica Neue"/>
          <w:color w:val="000000"/>
          <w:kern w:val="0"/>
        </w:rPr>
        <w:t>or the T</w:t>
      </w:r>
      <w:r w:rsidR="00CF4D1B">
        <w:rPr>
          <w:rFonts w:cs="Helvetica Neue"/>
          <w:color w:val="000000"/>
          <w:kern w:val="0"/>
        </w:rPr>
        <w:t xml:space="preserve">echnical </w:t>
      </w:r>
      <w:r w:rsidR="00647329" w:rsidRPr="001032DE">
        <w:rPr>
          <w:rFonts w:cs="Helvetica Neue"/>
          <w:color w:val="000000"/>
          <w:kern w:val="0"/>
        </w:rPr>
        <w:t>A</w:t>
      </w:r>
      <w:r w:rsidR="00CF4D1B">
        <w:rPr>
          <w:rFonts w:cs="Helvetica Neue"/>
          <w:color w:val="000000"/>
          <w:kern w:val="0"/>
        </w:rPr>
        <w:t>ssistance P</w:t>
      </w:r>
      <w:r w:rsidR="00647329" w:rsidRPr="001032DE">
        <w:rPr>
          <w:rFonts w:cs="Helvetica Neue"/>
          <w:color w:val="000000"/>
          <w:kern w:val="0"/>
        </w:rPr>
        <w:t>rogram.</w:t>
      </w:r>
    </w:p>
    <w:p w14:paraId="3AD77746" w14:textId="77777777" w:rsidR="00647329" w:rsidRPr="00647329" w:rsidRDefault="00647329" w:rsidP="0064732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color w:val="000000"/>
          <w:kern w:val="0"/>
          <w:sz w:val="26"/>
          <w:szCs w:val="26"/>
        </w:rPr>
      </w:pPr>
    </w:p>
    <w:p w14:paraId="47B9E651" w14:textId="6541566C" w:rsidR="00902A39" w:rsidRDefault="00902A39" w:rsidP="00A9494B">
      <w:bookmarkStart w:id="1" w:name="_Hlk184395949"/>
      <w:r>
        <w:t xml:space="preserve">This Executive Summary introduces the risk variables proposed to be included in </w:t>
      </w:r>
      <w:r w:rsidR="00CA5AA4">
        <w:t xml:space="preserve">the </w:t>
      </w:r>
      <w:r w:rsidR="00183AEF">
        <w:t>Risk A</w:t>
      </w:r>
      <w:r w:rsidR="00CA5AA4">
        <w:t>ssessment and</w:t>
      </w:r>
      <w:r w:rsidR="0087350F">
        <w:t xml:space="preserve"> justifies their inclusion. </w:t>
      </w:r>
    </w:p>
    <w:bookmarkEnd w:id="1"/>
    <w:p w14:paraId="0C563B48" w14:textId="3815739F" w:rsidR="00902A39" w:rsidRDefault="3A9052B0" w:rsidP="00A9494B">
      <w:r>
        <w:t xml:space="preserve">The Risk Assessment will not evaluate risk for Onsite Wastewater Treatment Systems (OWTS) or unsewered systems more broadly. </w:t>
      </w:r>
      <w:r w:rsidR="001A1100">
        <w:t>How</w:t>
      </w:r>
      <w:r w:rsidR="00A5730B">
        <w:t>e</w:t>
      </w:r>
      <w:r w:rsidR="001A1100">
        <w:t xml:space="preserve">ver, </w:t>
      </w:r>
      <w:r w:rsidR="000D404D">
        <w:t>another assessment focused on areas primarily served by OWTS will be included in the WWNA and</w:t>
      </w:r>
      <w:r>
        <w:t xml:space="preserve"> will be discussed in a future Advisory Group meeting.</w:t>
      </w:r>
    </w:p>
    <w:p w14:paraId="0F6E5F1E" w14:textId="19F24BBB" w:rsidR="00902A39" w:rsidRPr="008B60FF" w:rsidRDefault="00902A39" w:rsidP="00A9494B">
      <w:pPr>
        <w:rPr>
          <w:b/>
          <w:bCs/>
        </w:rPr>
      </w:pPr>
      <w:r w:rsidRPr="008B60FF">
        <w:rPr>
          <w:b/>
          <w:bCs/>
        </w:rPr>
        <w:t>Methods</w:t>
      </w:r>
    </w:p>
    <w:p w14:paraId="17B482C7" w14:textId="1C34B589" w:rsidR="008B60FF" w:rsidRDefault="3A9052B0" w:rsidP="00A9494B">
      <w:r>
        <w:t>The Risk Assessment will be conducted for roughly 260 NPDES, 1,000 WDR, and 1,000 SSO systems included in the WWNA. It will</w:t>
      </w:r>
      <w:r w:rsidR="00041374">
        <w:t xml:space="preserve"> </w:t>
      </w:r>
      <w:r>
        <w:t xml:space="preserve">evaluate their performance across risk indicators within the following four categories: socioeconomic, operational, </w:t>
      </w:r>
      <w:r w:rsidR="004A7BDC">
        <w:t>environmental</w:t>
      </w:r>
      <w:r>
        <w:t xml:space="preserve">, and public health. </w:t>
      </w:r>
      <w:r w:rsidR="00CF4D1B">
        <w:t>Facilities within each</w:t>
      </w:r>
      <w:r>
        <w:t xml:space="preserve"> permit type – NPDES, WDR, SSO – require slightly different Risk Criteria to capture their diverse characteristics</w:t>
      </w:r>
      <w:r w:rsidR="00D119BA">
        <w:t xml:space="preserve"> </w:t>
      </w:r>
      <w:r w:rsidR="00363776">
        <w:t>accurately</w:t>
      </w:r>
      <w:r>
        <w:t xml:space="preserve">. </w:t>
      </w:r>
    </w:p>
    <w:p w14:paraId="31852A52" w14:textId="3B725CE2" w:rsidR="00BA3ED5" w:rsidRDefault="3A9052B0" w:rsidP="00A9494B">
      <w:r>
        <w:t>We selected category names and variables to be included in different categories of the Risk Assessment based on reviews of previously published literature, conversations with experts from our project team</w:t>
      </w:r>
      <w:r w:rsidR="00D119BA">
        <w:t>,</w:t>
      </w:r>
      <w:r>
        <w:t xml:space="preserve"> and consultation with Water Board</w:t>
      </w:r>
      <w:r w:rsidR="00D119BA">
        <w:t>s</w:t>
      </w:r>
      <w:r>
        <w:t xml:space="preserve"> staff</w:t>
      </w:r>
      <w:r w:rsidR="00D119BA">
        <w:t xml:space="preserve"> working on compliance and enforcement aspects of facilities with N</w:t>
      </w:r>
      <w:r w:rsidR="00CF4D1B">
        <w:t>P</w:t>
      </w:r>
      <w:r w:rsidR="00D119BA">
        <w:t>DES, WDR, and SSO permits</w:t>
      </w:r>
      <w:r>
        <w:t xml:space="preserve">. </w:t>
      </w:r>
      <w:r w:rsidR="00A74584">
        <w:t>Our project team evaluated thirty-</w:t>
      </w:r>
      <w:r w:rsidR="00D7536C">
        <w:t xml:space="preserve">seven </w:t>
      </w:r>
      <w:r w:rsidR="00A74584">
        <w:t>potential risk variables for inclusion</w:t>
      </w:r>
      <w:r w:rsidR="00D7536C">
        <w:t>:</w:t>
      </w:r>
      <w:r w:rsidR="00B83BB4">
        <w:t xml:space="preserve"> </w:t>
      </w:r>
      <w:r w:rsidR="00D7536C">
        <w:t>8 socioeconomic, 1</w:t>
      </w:r>
      <w:r w:rsidR="001868CB">
        <w:t>7</w:t>
      </w:r>
      <w:r w:rsidR="00D7536C">
        <w:t xml:space="preserve"> operational, 8 </w:t>
      </w:r>
      <w:r w:rsidR="004A7BDC">
        <w:t>environmental</w:t>
      </w:r>
      <w:r w:rsidR="00D7536C">
        <w:t xml:space="preserve">, and 6 public health.  </w:t>
      </w:r>
      <w:r w:rsidR="00B83BB4">
        <w:t>We propos</w:t>
      </w:r>
      <w:r w:rsidR="00D119BA">
        <w:t>e</w:t>
      </w:r>
      <w:r w:rsidR="00B83BB4">
        <w:t xml:space="preserve"> </w:t>
      </w:r>
      <w:r w:rsidR="00D119BA">
        <w:t xml:space="preserve">including </w:t>
      </w:r>
      <w:r w:rsidR="00A74584">
        <w:t>twenty-t</w:t>
      </w:r>
      <w:r w:rsidR="00522E04">
        <w:t>hree</w:t>
      </w:r>
      <w:r w:rsidR="00B83BB4">
        <w:t xml:space="preserve"> in the Risk Assessment</w:t>
      </w:r>
      <w:r w:rsidR="00D7536C">
        <w:t xml:space="preserve">: 5 socioeconomic, </w:t>
      </w:r>
      <w:r w:rsidR="00BE496F">
        <w:t>1</w:t>
      </w:r>
      <w:r w:rsidR="001868CB">
        <w:t>2</w:t>
      </w:r>
      <w:r w:rsidR="00D7536C">
        <w:t xml:space="preserve"> operational, 7 </w:t>
      </w:r>
      <w:r w:rsidR="005456C9">
        <w:t>environmental</w:t>
      </w:r>
      <w:r w:rsidR="00D7536C">
        <w:t xml:space="preserve">, and 1 public health. </w:t>
      </w:r>
      <w:r w:rsidR="00A74584">
        <w:t xml:space="preserve">We will </w:t>
      </w:r>
      <w:r w:rsidR="00715D3F">
        <w:t xml:space="preserve">publish </w:t>
      </w:r>
      <w:r w:rsidR="00A74584">
        <w:t xml:space="preserve">a full report outlining the inclusion and exclusion process </w:t>
      </w:r>
      <w:r w:rsidR="00531BDC">
        <w:t xml:space="preserve">later </w:t>
      </w:r>
      <w:r w:rsidR="00A74584">
        <w:t xml:space="preserve">in 2025. </w:t>
      </w:r>
      <w:r>
        <w:t xml:space="preserve">Details on the individual risk variables included in each risk category can be found in </w:t>
      </w:r>
      <w:r w:rsidR="00D7536C" w:rsidRPr="00D7536C">
        <w:rPr>
          <w:b/>
          <w:bCs/>
        </w:rPr>
        <w:t>Table 1</w:t>
      </w:r>
      <w:r w:rsidR="00D7536C">
        <w:t xml:space="preserve"> below</w:t>
      </w:r>
      <w:r>
        <w:t>.</w:t>
      </w:r>
    </w:p>
    <w:p w14:paraId="58FC6B0F" w14:textId="77777777" w:rsidR="00BE496F" w:rsidRDefault="00BE496F" w:rsidP="00A9494B"/>
    <w:p w14:paraId="38A0AF08" w14:textId="6D25AA1F" w:rsidR="00842670" w:rsidRPr="00B83BB4" w:rsidRDefault="00B83BB4" w:rsidP="00A9494B">
      <w:pPr>
        <w:rPr>
          <w:b/>
          <w:bCs/>
        </w:rPr>
      </w:pPr>
      <w:r w:rsidRPr="00B83BB4">
        <w:rPr>
          <w:b/>
          <w:bCs/>
        </w:rPr>
        <w:lastRenderedPageBreak/>
        <w:t xml:space="preserve">Table 1: </w:t>
      </w:r>
      <w:r w:rsidRPr="00B83BB4">
        <w:t>Proposed Risk Assessment Variables.</w:t>
      </w:r>
      <w:r w:rsidRPr="00B83BB4">
        <w:rPr>
          <w:b/>
          <w:bCs/>
        </w:rPr>
        <w:t xml:space="preserve"> </w:t>
      </w:r>
    </w:p>
    <w:tbl>
      <w:tblPr>
        <w:tblStyle w:val="TableGrid"/>
        <w:tblW w:w="10800" w:type="dxa"/>
        <w:tblInd w:w="-725" w:type="dxa"/>
        <w:tblLook w:val="04A0" w:firstRow="1" w:lastRow="0" w:firstColumn="1" w:lastColumn="0" w:noHBand="0" w:noVBand="1"/>
      </w:tblPr>
      <w:tblGrid>
        <w:gridCol w:w="2160"/>
        <w:gridCol w:w="2880"/>
        <w:gridCol w:w="5760"/>
      </w:tblGrid>
      <w:tr w:rsidR="0087350F" w14:paraId="35285247" w14:textId="1E38BECF" w:rsidTr="00762D70">
        <w:tc>
          <w:tcPr>
            <w:tcW w:w="2160" w:type="dxa"/>
            <w:shd w:val="clear" w:color="auto" w:fill="156082" w:themeFill="accent1"/>
          </w:tcPr>
          <w:p w14:paraId="6224E014" w14:textId="22443753" w:rsidR="0087350F" w:rsidRPr="0087350F" w:rsidRDefault="0087350F" w:rsidP="00A9494B">
            <w:pPr>
              <w:rPr>
                <w:color w:val="FFFFFF" w:themeColor="background1"/>
              </w:rPr>
            </w:pPr>
            <w:r w:rsidRPr="0087350F">
              <w:rPr>
                <w:color w:val="FFFFFF" w:themeColor="background1"/>
              </w:rPr>
              <w:t>Risk Category</w:t>
            </w:r>
          </w:p>
        </w:tc>
        <w:tc>
          <w:tcPr>
            <w:tcW w:w="2880" w:type="dxa"/>
            <w:shd w:val="clear" w:color="auto" w:fill="156082" w:themeFill="accent1"/>
          </w:tcPr>
          <w:p w14:paraId="3BB54BC3" w14:textId="228CD8D4" w:rsidR="0087350F" w:rsidRPr="0087350F" w:rsidRDefault="3A9052B0" w:rsidP="00A9494B">
            <w:pPr>
              <w:rPr>
                <w:color w:val="FFFFFF" w:themeColor="background1"/>
              </w:rPr>
            </w:pPr>
            <w:r w:rsidRPr="3A9052B0">
              <w:rPr>
                <w:color w:val="FFFFFF" w:themeColor="background1"/>
              </w:rPr>
              <w:t>Variable</w:t>
            </w:r>
          </w:p>
        </w:tc>
        <w:tc>
          <w:tcPr>
            <w:tcW w:w="5760" w:type="dxa"/>
            <w:shd w:val="clear" w:color="auto" w:fill="156082" w:themeFill="accent1"/>
          </w:tcPr>
          <w:p w14:paraId="01FCCB6B" w14:textId="0567B862" w:rsidR="0087350F" w:rsidRPr="0087350F" w:rsidRDefault="0087350F" w:rsidP="00A9494B">
            <w:pPr>
              <w:rPr>
                <w:color w:val="FFFFFF" w:themeColor="background1"/>
              </w:rPr>
            </w:pPr>
            <w:r w:rsidRPr="0087350F">
              <w:rPr>
                <w:color w:val="FFFFFF" w:themeColor="background1"/>
              </w:rPr>
              <w:t>Description</w:t>
            </w:r>
          </w:p>
        </w:tc>
      </w:tr>
      <w:tr w:rsidR="00BA3ED5" w14:paraId="7493459E" w14:textId="5A146E88" w:rsidTr="00762D70">
        <w:tc>
          <w:tcPr>
            <w:tcW w:w="2160" w:type="dxa"/>
            <w:vMerge w:val="restart"/>
            <w:shd w:val="clear" w:color="auto" w:fill="DAE9F7" w:themeFill="text2" w:themeFillTint="1A"/>
          </w:tcPr>
          <w:p w14:paraId="32CB1A9F" w14:textId="77777777" w:rsidR="00BA3ED5" w:rsidRDefault="00BA3ED5" w:rsidP="0087350F">
            <w:pPr>
              <w:jc w:val="center"/>
            </w:pPr>
          </w:p>
          <w:p w14:paraId="4534EB90" w14:textId="77777777" w:rsidR="00BA3ED5" w:rsidRPr="0087350F" w:rsidRDefault="00BA3ED5" w:rsidP="000D5586">
            <w:pPr>
              <w:jc w:val="center"/>
              <w:rPr>
                <w:b/>
                <w:bCs/>
              </w:rPr>
            </w:pPr>
            <w:r w:rsidRPr="0087350F">
              <w:rPr>
                <w:b/>
                <w:bCs/>
              </w:rPr>
              <w:t>Socioeconomic</w:t>
            </w:r>
          </w:p>
          <w:p w14:paraId="66E950D9" w14:textId="5F6CC318" w:rsidR="00BA3ED5" w:rsidRPr="0087350F" w:rsidRDefault="00BA3ED5" w:rsidP="00A9494B">
            <w:pPr>
              <w:rPr>
                <w:b/>
                <w:bCs/>
              </w:rPr>
            </w:pPr>
          </w:p>
        </w:tc>
        <w:tc>
          <w:tcPr>
            <w:tcW w:w="2880" w:type="dxa"/>
          </w:tcPr>
          <w:p w14:paraId="60DBFF9E" w14:textId="77777777" w:rsidR="00BA3ED5" w:rsidRDefault="00BA3ED5" w:rsidP="00BA3ED5">
            <w:r w:rsidRPr="00BA3ED5">
              <w:t>Household Socioeconomic Burden</w:t>
            </w:r>
          </w:p>
          <w:p w14:paraId="1E6E604C" w14:textId="77777777" w:rsidR="00A74584" w:rsidRDefault="00A74584" w:rsidP="00BA3ED5"/>
          <w:p w14:paraId="0A47BBB3" w14:textId="77777777" w:rsidR="00A74584" w:rsidRDefault="00A74584" w:rsidP="00BA3ED5"/>
          <w:p w14:paraId="62536C73" w14:textId="77777777" w:rsidR="00A74584" w:rsidRDefault="00A74584" w:rsidP="00BA3ED5"/>
          <w:p w14:paraId="230852C2" w14:textId="77777777" w:rsidR="0086151F" w:rsidRDefault="0086151F" w:rsidP="00BA3ED5">
            <w:pPr>
              <w:rPr>
                <w:i/>
                <w:iCs/>
                <w:sz w:val="18"/>
                <w:szCs w:val="18"/>
              </w:rPr>
            </w:pPr>
          </w:p>
          <w:p w14:paraId="1FCF739E" w14:textId="1AD2C626" w:rsidR="00A74584" w:rsidRPr="00B83BB4" w:rsidRDefault="00A74584" w:rsidP="00BA3ED5">
            <w:pPr>
              <w:rPr>
                <w:i/>
                <w:iCs/>
                <w:sz w:val="18"/>
                <w:szCs w:val="18"/>
              </w:rPr>
            </w:pPr>
            <w:r w:rsidRPr="00B83BB4">
              <w:rPr>
                <w:i/>
                <w:iCs/>
                <w:sz w:val="18"/>
                <w:szCs w:val="18"/>
              </w:rPr>
              <w:t>(N</w:t>
            </w:r>
            <w:r w:rsidR="00C22496">
              <w:rPr>
                <w:i/>
                <w:iCs/>
                <w:sz w:val="18"/>
                <w:szCs w:val="18"/>
              </w:rPr>
              <w:t>PDES</w:t>
            </w:r>
            <w:r w:rsidRPr="00B83BB4">
              <w:rPr>
                <w:i/>
                <w:iCs/>
                <w:sz w:val="18"/>
                <w:szCs w:val="18"/>
              </w:rPr>
              <w:t>, W</w:t>
            </w:r>
            <w:r w:rsidR="00C22496">
              <w:rPr>
                <w:i/>
                <w:iCs/>
                <w:sz w:val="18"/>
                <w:szCs w:val="18"/>
              </w:rPr>
              <w:t>DR</w:t>
            </w:r>
            <w:r w:rsidRPr="00B83BB4">
              <w:rPr>
                <w:i/>
                <w:iCs/>
                <w:sz w:val="18"/>
                <w:szCs w:val="18"/>
              </w:rPr>
              <w:t>, S</w:t>
            </w:r>
            <w:r w:rsidR="00C22496">
              <w:rPr>
                <w:i/>
                <w:iCs/>
                <w:sz w:val="18"/>
                <w:szCs w:val="18"/>
              </w:rPr>
              <w:t>SO</w:t>
            </w:r>
            <w:r w:rsidRPr="00B83BB4">
              <w:rPr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5760" w:type="dxa"/>
          </w:tcPr>
          <w:p w14:paraId="5CE14D1F" w14:textId="156B6384" w:rsidR="00BA3ED5" w:rsidRDefault="00A74584" w:rsidP="00A9494B">
            <w:r>
              <w:t>Measures p</w:t>
            </w:r>
            <w:r w:rsidR="00BA3ED5" w:rsidRPr="00BA3ED5">
              <w:t xml:space="preserve">overty </w:t>
            </w:r>
            <w:r>
              <w:t>p</w:t>
            </w:r>
            <w:r w:rsidR="00BA3ED5" w:rsidRPr="00BA3ED5">
              <w:t xml:space="preserve">revalence and </w:t>
            </w:r>
            <w:r>
              <w:t>h</w:t>
            </w:r>
            <w:r w:rsidR="00BA3ED5" w:rsidRPr="00BA3ED5">
              <w:t xml:space="preserve">ousing </w:t>
            </w:r>
            <w:r>
              <w:t>b</w:t>
            </w:r>
            <w:r w:rsidR="00BA3ED5" w:rsidRPr="00BA3ED5">
              <w:t>urden</w:t>
            </w:r>
            <w:r>
              <w:t xml:space="preserve"> using a composite score</w:t>
            </w:r>
            <w:r w:rsidR="00BA3ED5" w:rsidRPr="00BA3ED5">
              <w:t>. Communities with high levels of poverty and high housing costs may struggle to pay for the necessary upgrades, maintenance</w:t>
            </w:r>
            <w:r w:rsidR="00D119BA">
              <w:t>,</w:t>
            </w:r>
            <w:r w:rsidR="00BA3ED5" w:rsidRPr="00BA3ED5">
              <w:t xml:space="preserve"> and operation of </w:t>
            </w:r>
            <w:r w:rsidR="00B423FC">
              <w:t>W</w:t>
            </w:r>
            <w:r w:rsidR="00BA3ED5" w:rsidRPr="00BA3ED5">
              <w:t xml:space="preserve">astewater </w:t>
            </w:r>
            <w:r w:rsidR="00B423FC">
              <w:t>S</w:t>
            </w:r>
            <w:r w:rsidR="00BA3ED5" w:rsidRPr="00BA3ED5">
              <w:t>ystems</w:t>
            </w:r>
            <w:r w:rsidR="00B423FC">
              <w:t xml:space="preserve"> and Facilities</w:t>
            </w:r>
            <w:r w:rsidR="00BA3ED5" w:rsidRPr="00BA3ED5">
              <w:t>.</w:t>
            </w:r>
          </w:p>
        </w:tc>
      </w:tr>
      <w:tr w:rsidR="00BA3ED5" w14:paraId="0F2F4359" w14:textId="4A587674" w:rsidTr="00762D70">
        <w:tc>
          <w:tcPr>
            <w:tcW w:w="2160" w:type="dxa"/>
            <w:vMerge/>
          </w:tcPr>
          <w:p w14:paraId="50E2BAB4" w14:textId="406A330A" w:rsidR="00BA3ED5" w:rsidRDefault="00BA3ED5" w:rsidP="00A9494B"/>
        </w:tc>
        <w:tc>
          <w:tcPr>
            <w:tcW w:w="2880" w:type="dxa"/>
          </w:tcPr>
          <w:p w14:paraId="71641DEC" w14:textId="77777777" w:rsidR="00BA3ED5" w:rsidRDefault="00BA3ED5" w:rsidP="00BA3ED5">
            <w:r w:rsidRPr="00BA3ED5">
              <w:t>Incomplete Plumbing</w:t>
            </w:r>
          </w:p>
          <w:p w14:paraId="3A781AD5" w14:textId="77777777" w:rsidR="00A74584" w:rsidRDefault="00A74584" w:rsidP="00BA3ED5"/>
          <w:p w14:paraId="19B349E8" w14:textId="77777777" w:rsidR="00A74584" w:rsidRDefault="00A74584" w:rsidP="00BA3ED5"/>
          <w:p w14:paraId="09314ADA" w14:textId="77777777" w:rsidR="00A74584" w:rsidRDefault="00A74584" w:rsidP="00BA3ED5"/>
          <w:p w14:paraId="2521726B" w14:textId="51715680" w:rsidR="00A74584" w:rsidRPr="00B83BB4" w:rsidRDefault="00A74584" w:rsidP="00BA3ED5">
            <w:pPr>
              <w:rPr>
                <w:sz w:val="18"/>
                <w:szCs w:val="18"/>
              </w:rPr>
            </w:pPr>
            <w:r w:rsidRPr="00B83BB4">
              <w:rPr>
                <w:i/>
                <w:iCs/>
                <w:sz w:val="18"/>
                <w:szCs w:val="18"/>
              </w:rPr>
              <w:t>(N</w:t>
            </w:r>
            <w:r w:rsidR="00363776">
              <w:rPr>
                <w:i/>
                <w:iCs/>
                <w:sz w:val="18"/>
                <w:szCs w:val="18"/>
              </w:rPr>
              <w:t>PDES</w:t>
            </w:r>
            <w:r w:rsidRPr="00B83BB4">
              <w:rPr>
                <w:i/>
                <w:iCs/>
                <w:sz w:val="18"/>
                <w:szCs w:val="18"/>
              </w:rPr>
              <w:t>, W</w:t>
            </w:r>
            <w:r w:rsidR="00363776">
              <w:rPr>
                <w:i/>
                <w:iCs/>
                <w:sz w:val="18"/>
                <w:szCs w:val="18"/>
              </w:rPr>
              <w:t>DR</w:t>
            </w:r>
            <w:r w:rsidRPr="00B83BB4">
              <w:rPr>
                <w:i/>
                <w:iCs/>
                <w:sz w:val="18"/>
                <w:szCs w:val="18"/>
              </w:rPr>
              <w:t>, S</w:t>
            </w:r>
            <w:r w:rsidR="00363776">
              <w:rPr>
                <w:i/>
                <w:iCs/>
                <w:sz w:val="18"/>
                <w:szCs w:val="18"/>
              </w:rPr>
              <w:t>SO</w:t>
            </w:r>
            <w:r w:rsidRPr="00B83BB4">
              <w:rPr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5760" w:type="dxa"/>
          </w:tcPr>
          <w:p w14:paraId="3EC511F6" w14:textId="08A59C74" w:rsidR="00BA3ED5" w:rsidRDefault="00A74584" w:rsidP="00A9494B">
            <w:r>
              <w:t>I</w:t>
            </w:r>
            <w:r w:rsidR="00BA3ED5" w:rsidRPr="00BA3ED5">
              <w:t>dentifies the number of occupied housing units lacking complete plumbing. Lack of complete plumbing can indicate substandard housing quality and challenges upholding the human right to sanitation.</w:t>
            </w:r>
          </w:p>
        </w:tc>
      </w:tr>
      <w:tr w:rsidR="00BA3ED5" w14:paraId="3BC6C1CF" w14:textId="294EF1B2" w:rsidTr="00762D70">
        <w:tc>
          <w:tcPr>
            <w:tcW w:w="2160" w:type="dxa"/>
            <w:vMerge/>
          </w:tcPr>
          <w:p w14:paraId="233763F5" w14:textId="4E2F416A" w:rsidR="00BA3ED5" w:rsidRDefault="00BA3ED5" w:rsidP="00A9494B"/>
        </w:tc>
        <w:tc>
          <w:tcPr>
            <w:tcW w:w="2880" w:type="dxa"/>
          </w:tcPr>
          <w:p w14:paraId="5733E895" w14:textId="77777777" w:rsidR="00BA3ED5" w:rsidRDefault="00BA3ED5" w:rsidP="00BA3ED5">
            <w:r w:rsidRPr="00BA3ED5">
              <w:t>Disadvantaged Community Status (DAC)</w:t>
            </w:r>
          </w:p>
          <w:p w14:paraId="0DBA5087" w14:textId="77777777" w:rsidR="0086151F" w:rsidRDefault="0086151F" w:rsidP="00BA3ED5">
            <w:pPr>
              <w:rPr>
                <w:i/>
                <w:iCs/>
                <w:sz w:val="18"/>
                <w:szCs w:val="18"/>
              </w:rPr>
            </w:pPr>
          </w:p>
          <w:p w14:paraId="1F027171" w14:textId="614A9D61" w:rsidR="00B83BB4" w:rsidRPr="00B83BB4" w:rsidRDefault="00B83BB4" w:rsidP="00BA3ED5">
            <w:pPr>
              <w:rPr>
                <w:sz w:val="18"/>
                <w:szCs w:val="18"/>
              </w:rPr>
            </w:pPr>
            <w:r w:rsidRPr="00B83BB4">
              <w:rPr>
                <w:i/>
                <w:iCs/>
                <w:sz w:val="18"/>
                <w:szCs w:val="18"/>
              </w:rPr>
              <w:t>(N</w:t>
            </w:r>
            <w:r w:rsidR="00363776">
              <w:rPr>
                <w:i/>
                <w:iCs/>
                <w:sz w:val="18"/>
                <w:szCs w:val="18"/>
              </w:rPr>
              <w:t>PDES</w:t>
            </w:r>
            <w:r w:rsidRPr="00B83BB4">
              <w:rPr>
                <w:i/>
                <w:iCs/>
                <w:sz w:val="18"/>
                <w:szCs w:val="18"/>
              </w:rPr>
              <w:t>, W</w:t>
            </w:r>
            <w:r w:rsidR="00363776">
              <w:rPr>
                <w:i/>
                <w:iCs/>
                <w:sz w:val="18"/>
                <w:szCs w:val="18"/>
              </w:rPr>
              <w:t>DR</w:t>
            </w:r>
            <w:r w:rsidRPr="00B83BB4">
              <w:rPr>
                <w:i/>
                <w:iCs/>
                <w:sz w:val="18"/>
                <w:szCs w:val="18"/>
              </w:rPr>
              <w:t>, S</w:t>
            </w:r>
            <w:r w:rsidR="00363776">
              <w:rPr>
                <w:i/>
                <w:iCs/>
                <w:sz w:val="18"/>
                <w:szCs w:val="18"/>
              </w:rPr>
              <w:t>SO</w:t>
            </w:r>
            <w:r w:rsidRPr="00B83BB4">
              <w:rPr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5760" w:type="dxa"/>
          </w:tcPr>
          <w:p w14:paraId="549AFFA5" w14:textId="03D8121A" w:rsidR="00BA3ED5" w:rsidRPr="00895962" w:rsidRDefault="007F5459" w:rsidP="00A9494B">
            <w:r w:rsidRPr="00895962">
              <w:t>I</w:t>
            </w:r>
            <w:r w:rsidR="00BA3ED5" w:rsidRPr="00895962">
              <w:t>dentifies when a community's median household income is at or below 80 percent of the statewide MHI</w:t>
            </w:r>
            <w:r w:rsidR="00B423FC" w:rsidRPr="00895962">
              <w:t xml:space="preserve"> (</w:t>
            </w:r>
            <w:r w:rsidR="00B423FC" w:rsidRPr="00895962">
              <w:rPr>
                <w:rFonts w:cs="Helvetica Neue"/>
                <w:color w:val="000000"/>
                <w:kern w:val="0"/>
              </w:rPr>
              <w:t>80% of Statewide MHI = $73,524</w:t>
            </w:r>
            <w:r w:rsidR="00895962" w:rsidRPr="00895962">
              <w:rPr>
                <w:rFonts w:cs="Helvetica Neue"/>
                <w:color w:val="000000"/>
                <w:kern w:val="0"/>
              </w:rPr>
              <w:t xml:space="preserve"> based on 2022 ACS</w:t>
            </w:r>
            <w:r w:rsidR="00B423FC" w:rsidRPr="00895962">
              <w:rPr>
                <w:rFonts w:cs="Helvetica Neue"/>
                <w:color w:val="000000"/>
                <w:kern w:val="0"/>
              </w:rPr>
              <w:t>)</w:t>
            </w:r>
            <w:r w:rsidR="00BA3ED5" w:rsidRPr="00895962">
              <w:t>.</w:t>
            </w:r>
          </w:p>
        </w:tc>
      </w:tr>
      <w:tr w:rsidR="00BA3ED5" w14:paraId="4E3E7253" w14:textId="77777777" w:rsidTr="00762D70">
        <w:tc>
          <w:tcPr>
            <w:tcW w:w="2160" w:type="dxa"/>
            <w:vMerge/>
          </w:tcPr>
          <w:p w14:paraId="4392413A" w14:textId="5A601535" w:rsidR="00BA3ED5" w:rsidRDefault="00BA3ED5" w:rsidP="00A9494B"/>
        </w:tc>
        <w:tc>
          <w:tcPr>
            <w:tcW w:w="2880" w:type="dxa"/>
          </w:tcPr>
          <w:p w14:paraId="34144CDF" w14:textId="77777777" w:rsidR="00BA3ED5" w:rsidRDefault="00BA3ED5" w:rsidP="00BA3ED5">
            <w:r w:rsidRPr="00BA3ED5">
              <w:t>Severely Disadvantaged Community Status (SDAC)</w:t>
            </w:r>
          </w:p>
          <w:p w14:paraId="22AE7BDE" w14:textId="77777777" w:rsidR="0086151F" w:rsidRDefault="0086151F" w:rsidP="00BA3ED5">
            <w:pPr>
              <w:rPr>
                <w:i/>
                <w:iCs/>
                <w:sz w:val="18"/>
                <w:szCs w:val="18"/>
              </w:rPr>
            </w:pPr>
          </w:p>
          <w:p w14:paraId="5CDD1C98" w14:textId="068475F9" w:rsidR="00B83BB4" w:rsidRDefault="00B83BB4" w:rsidP="00BA3ED5">
            <w:r w:rsidRPr="00B83BB4">
              <w:rPr>
                <w:i/>
                <w:iCs/>
                <w:sz w:val="18"/>
                <w:szCs w:val="18"/>
              </w:rPr>
              <w:t>(N</w:t>
            </w:r>
            <w:r w:rsidR="00363776">
              <w:rPr>
                <w:i/>
                <w:iCs/>
                <w:sz w:val="18"/>
                <w:szCs w:val="18"/>
              </w:rPr>
              <w:t>PDES</w:t>
            </w:r>
            <w:r w:rsidRPr="00B83BB4">
              <w:rPr>
                <w:i/>
                <w:iCs/>
                <w:sz w:val="18"/>
                <w:szCs w:val="18"/>
              </w:rPr>
              <w:t>, W</w:t>
            </w:r>
            <w:r w:rsidR="00363776">
              <w:rPr>
                <w:i/>
                <w:iCs/>
                <w:sz w:val="18"/>
                <w:szCs w:val="18"/>
              </w:rPr>
              <w:t>DR</w:t>
            </w:r>
            <w:r w:rsidRPr="00B83BB4">
              <w:rPr>
                <w:i/>
                <w:iCs/>
                <w:sz w:val="18"/>
                <w:szCs w:val="18"/>
              </w:rPr>
              <w:t>, S</w:t>
            </w:r>
            <w:r w:rsidR="00363776">
              <w:rPr>
                <w:i/>
                <w:iCs/>
                <w:sz w:val="18"/>
                <w:szCs w:val="18"/>
              </w:rPr>
              <w:t>SO</w:t>
            </w:r>
            <w:r w:rsidRPr="00B83BB4">
              <w:rPr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5760" w:type="dxa"/>
          </w:tcPr>
          <w:p w14:paraId="299EDAD9" w14:textId="27203EDF" w:rsidR="00BA3ED5" w:rsidRPr="00895962" w:rsidRDefault="007F5459" w:rsidP="00A9494B">
            <w:r w:rsidRPr="00895962">
              <w:t>I</w:t>
            </w:r>
            <w:r w:rsidR="00BA3ED5" w:rsidRPr="00895962">
              <w:t>dentifies when a community's median household income is at or below 60 percent of the statewide MHI</w:t>
            </w:r>
            <w:r w:rsidR="00895962" w:rsidRPr="00895962">
              <w:t xml:space="preserve"> (</w:t>
            </w:r>
            <w:r w:rsidR="00895962" w:rsidRPr="00895962">
              <w:rPr>
                <w:rFonts w:cs="Helvetica Neue"/>
                <w:color w:val="000000"/>
                <w:kern w:val="0"/>
              </w:rPr>
              <w:t>60% of Statewide MHI = $55,143 based on 2022 ACS)</w:t>
            </w:r>
            <w:r w:rsidR="00BA3ED5" w:rsidRPr="00895962">
              <w:t>.</w:t>
            </w:r>
          </w:p>
        </w:tc>
      </w:tr>
      <w:tr w:rsidR="00BA3ED5" w14:paraId="4BB55D9C" w14:textId="77777777" w:rsidTr="00762D70">
        <w:tc>
          <w:tcPr>
            <w:tcW w:w="2160" w:type="dxa"/>
            <w:vMerge/>
          </w:tcPr>
          <w:p w14:paraId="69940EF9" w14:textId="0F33230B" w:rsidR="00BA3ED5" w:rsidRDefault="00BA3ED5" w:rsidP="00A9494B"/>
        </w:tc>
        <w:tc>
          <w:tcPr>
            <w:tcW w:w="2880" w:type="dxa"/>
          </w:tcPr>
          <w:p w14:paraId="530F3261" w14:textId="77777777" w:rsidR="00BA3ED5" w:rsidRDefault="00BA3ED5" w:rsidP="00BA3ED5">
            <w:r w:rsidRPr="00BA3ED5">
              <w:t>Race/Ethnicity</w:t>
            </w:r>
          </w:p>
          <w:p w14:paraId="451F20D0" w14:textId="77777777" w:rsidR="00EC6754" w:rsidRDefault="00EC6754" w:rsidP="00BA3ED5"/>
          <w:p w14:paraId="21EB3D79" w14:textId="77777777" w:rsidR="00EC6754" w:rsidRDefault="00EC6754" w:rsidP="00BA3ED5"/>
          <w:p w14:paraId="5C345CC4" w14:textId="77777777" w:rsidR="00EC6754" w:rsidRDefault="00EC6754" w:rsidP="00BA3ED5"/>
          <w:p w14:paraId="72F9B997" w14:textId="77777777" w:rsidR="00EC6754" w:rsidRDefault="00EC6754" w:rsidP="00BA3ED5"/>
          <w:p w14:paraId="700F4936" w14:textId="65A5CE19" w:rsidR="00EC6754" w:rsidRPr="00BA3ED5" w:rsidRDefault="00EC6754" w:rsidP="00BA3ED5">
            <w:r w:rsidRPr="00B83BB4">
              <w:rPr>
                <w:i/>
                <w:iCs/>
                <w:sz w:val="18"/>
                <w:szCs w:val="18"/>
              </w:rPr>
              <w:t>(N</w:t>
            </w:r>
            <w:r w:rsidR="00826E8D">
              <w:rPr>
                <w:i/>
                <w:iCs/>
                <w:sz w:val="18"/>
                <w:szCs w:val="18"/>
              </w:rPr>
              <w:t>PDES</w:t>
            </w:r>
            <w:r w:rsidRPr="00B83BB4">
              <w:rPr>
                <w:i/>
                <w:iCs/>
                <w:sz w:val="18"/>
                <w:szCs w:val="18"/>
              </w:rPr>
              <w:t>, W</w:t>
            </w:r>
            <w:r w:rsidR="00826E8D">
              <w:rPr>
                <w:i/>
                <w:iCs/>
                <w:sz w:val="18"/>
                <w:szCs w:val="18"/>
              </w:rPr>
              <w:t>DR</w:t>
            </w:r>
            <w:r w:rsidRPr="00B83BB4">
              <w:rPr>
                <w:i/>
                <w:iCs/>
                <w:sz w:val="18"/>
                <w:szCs w:val="18"/>
              </w:rPr>
              <w:t>, S</w:t>
            </w:r>
            <w:r w:rsidR="00826E8D">
              <w:rPr>
                <w:i/>
                <w:iCs/>
                <w:sz w:val="18"/>
                <w:szCs w:val="18"/>
              </w:rPr>
              <w:t>SO</w:t>
            </w:r>
            <w:r w:rsidRPr="00B83BB4">
              <w:rPr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5760" w:type="dxa"/>
          </w:tcPr>
          <w:p w14:paraId="157885E5" w14:textId="4CC42257" w:rsidR="00BA3ED5" w:rsidRPr="00BA3ED5" w:rsidRDefault="00BA3ED5" w:rsidP="00A9494B">
            <w:r w:rsidRPr="00BA3ED5">
              <w:t>The racial and ethnic makeup of the community served by a</w:t>
            </w:r>
            <w:r w:rsidR="00AF3FC0">
              <w:t xml:space="preserve"> W</w:t>
            </w:r>
            <w:r w:rsidR="00AF3FC0" w:rsidRPr="00BA3ED5">
              <w:t xml:space="preserve">astewater </w:t>
            </w:r>
            <w:r w:rsidR="00AF3FC0">
              <w:t>S</w:t>
            </w:r>
            <w:r w:rsidR="00AF3FC0" w:rsidRPr="00BA3ED5">
              <w:t>ystem</w:t>
            </w:r>
            <w:r w:rsidR="00B4363C">
              <w:t xml:space="preserve"> a</w:t>
            </w:r>
            <w:r w:rsidR="00AF3FC0">
              <w:t>nd Facilit</w:t>
            </w:r>
            <w:r w:rsidR="00B4363C">
              <w:t>y</w:t>
            </w:r>
            <w:r w:rsidRPr="00BA3ED5">
              <w:t>. Historically marginalized people and communities are disproportionately likely to be without access to safe water and sanitation.</w:t>
            </w:r>
          </w:p>
        </w:tc>
      </w:tr>
      <w:tr w:rsidR="005F686C" w14:paraId="5F3192B6" w14:textId="594E4FCE" w:rsidTr="00762D70">
        <w:tc>
          <w:tcPr>
            <w:tcW w:w="2160" w:type="dxa"/>
            <w:vMerge w:val="restart"/>
            <w:shd w:val="clear" w:color="auto" w:fill="F2CEED" w:themeFill="accent5" w:themeFillTint="33"/>
          </w:tcPr>
          <w:p w14:paraId="1C426A93" w14:textId="77777777" w:rsidR="005F686C" w:rsidRDefault="005F686C" w:rsidP="000D5586">
            <w:pPr>
              <w:jc w:val="center"/>
              <w:rPr>
                <w:b/>
                <w:bCs/>
              </w:rPr>
            </w:pPr>
          </w:p>
          <w:p w14:paraId="53060029" w14:textId="3EB6A9EF" w:rsidR="005F686C" w:rsidRPr="00BA3ED5" w:rsidRDefault="005F686C" w:rsidP="000D5586">
            <w:pPr>
              <w:jc w:val="center"/>
              <w:rPr>
                <w:b/>
                <w:bCs/>
              </w:rPr>
            </w:pPr>
            <w:r w:rsidRPr="00BA3ED5">
              <w:rPr>
                <w:b/>
                <w:bCs/>
              </w:rPr>
              <w:t>Operational</w:t>
            </w:r>
          </w:p>
        </w:tc>
        <w:tc>
          <w:tcPr>
            <w:tcW w:w="2880" w:type="dxa"/>
          </w:tcPr>
          <w:p w14:paraId="3E5E93F0" w14:textId="213101A0" w:rsidR="005F686C" w:rsidRDefault="005F686C" w:rsidP="00A9494B">
            <w:r>
              <w:t xml:space="preserve">Relative </w:t>
            </w:r>
            <w:r w:rsidRPr="00BA3ED5">
              <w:t>Annual Capital Expenditures</w:t>
            </w:r>
          </w:p>
          <w:p w14:paraId="33C8E882" w14:textId="77777777" w:rsidR="005F686C" w:rsidRDefault="005F686C" w:rsidP="00A9494B"/>
          <w:p w14:paraId="5428013B" w14:textId="77777777" w:rsidR="005F686C" w:rsidRDefault="005F686C" w:rsidP="00A9494B"/>
          <w:p w14:paraId="2840F632" w14:textId="513A2356" w:rsidR="005F686C" w:rsidRPr="00EC6754" w:rsidRDefault="005F686C" w:rsidP="00A9494B">
            <w:pPr>
              <w:rPr>
                <w:i/>
                <w:iCs/>
                <w:sz w:val="18"/>
                <w:szCs w:val="18"/>
              </w:rPr>
            </w:pPr>
            <w:r w:rsidRPr="00EC6754">
              <w:rPr>
                <w:i/>
                <w:iCs/>
                <w:sz w:val="18"/>
                <w:szCs w:val="18"/>
              </w:rPr>
              <w:t>(S</w:t>
            </w:r>
            <w:r>
              <w:rPr>
                <w:i/>
                <w:iCs/>
                <w:sz w:val="18"/>
                <w:szCs w:val="18"/>
              </w:rPr>
              <w:t>SO</w:t>
            </w:r>
            <w:r w:rsidRPr="00EC6754">
              <w:rPr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5760" w:type="dxa"/>
          </w:tcPr>
          <w:p w14:paraId="2C587D23" w14:textId="7EEE37B1" w:rsidR="005F686C" w:rsidRDefault="005F686C" w:rsidP="00A9494B">
            <w:r w:rsidRPr="00BA3ED5">
              <w:t>Funds spent on acquiring, upgrading, or maintaining physical assets and infrastructure such as building, expanding, or upgrading</w:t>
            </w:r>
            <w:r>
              <w:t xml:space="preserve"> W</w:t>
            </w:r>
            <w:r w:rsidRPr="00BA3ED5">
              <w:t xml:space="preserve">astewater </w:t>
            </w:r>
            <w:r>
              <w:t>S</w:t>
            </w:r>
            <w:r w:rsidRPr="00BA3ED5">
              <w:t>ystems</w:t>
            </w:r>
            <w:r>
              <w:t xml:space="preserve"> and Facilities relative to the size of the system.</w:t>
            </w:r>
          </w:p>
        </w:tc>
      </w:tr>
      <w:tr w:rsidR="005F686C" w14:paraId="194A6AF4" w14:textId="77777777" w:rsidTr="00762D70">
        <w:tc>
          <w:tcPr>
            <w:tcW w:w="2160" w:type="dxa"/>
            <w:vMerge/>
          </w:tcPr>
          <w:p w14:paraId="288CA621" w14:textId="77777777" w:rsidR="005F686C" w:rsidRDefault="005F686C" w:rsidP="00A9494B"/>
        </w:tc>
        <w:tc>
          <w:tcPr>
            <w:tcW w:w="2880" w:type="dxa"/>
          </w:tcPr>
          <w:p w14:paraId="01C43571" w14:textId="02D8E3BC" w:rsidR="005F686C" w:rsidRDefault="005F686C" w:rsidP="00A9494B">
            <w:r>
              <w:t xml:space="preserve">Relative </w:t>
            </w:r>
            <w:r w:rsidRPr="00BA3ED5">
              <w:t>Operation &amp; Maintenance Budget</w:t>
            </w:r>
          </w:p>
          <w:p w14:paraId="03A5332D" w14:textId="77777777" w:rsidR="0086151F" w:rsidRDefault="0086151F" w:rsidP="00A9494B">
            <w:pPr>
              <w:rPr>
                <w:i/>
                <w:iCs/>
                <w:sz w:val="18"/>
                <w:szCs w:val="18"/>
              </w:rPr>
            </w:pPr>
          </w:p>
          <w:p w14:paraId="36CE1808" w14:textId="115BA3BD" w:rsidR="005F686C" w:rsidRDefault="005F686C" w:rsidP="00A9494B">
            <w:r w:rsidRPr="00EC6754">
              <w:rPr>
                <w:i/>
                <w:iCs/>
                <w:sz w:val="18"/>
                <w:szCs w:val="18"/>
              </w:rPr>
              <w:t>(S</w:t>
            </w:r>
            <w:r>
              <w:rPr>
                <w:i/>
                <w:iCs/>
                <w:sz w:val="18"/>
                <w:szCs w:val="18"/>
              </w:rPr>
              <w:t>SO</w:t>
            </w:r>
            <w:r w:rsidRPr="00EC6754">
              <w:rPr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5760" w:type="dxa"/>
          </w:tcPr>
          <w:p w14:paraId="1B7CAECB" w14:textId="24D385A1" w:rsidR="005F686C" w:rsidRDefault="005F686C" w:rsidP="00A9494B">
            <w:r>
              <w:t>B</w:t>
            </w:r>
            <w:r w:rsidRPr="00BA3ED5">
              <w:t xml:space="preserve">udgets </w:t>
            </w:r>
            <w:r>
              <w:t xml:space="preserve">that </w:t>
            </w:r>
            <w:r w:rsidRPr="00BA3ED5">
              <w:t xml:space="preserve">cover the costs associated with </w:t>
            </w:r>
            <w:r>
              <w:t>operat</w:t>
            </w:r>
            <w:r w:rsidRPr="00BA3ED5">
              <w:t xml:space="preserve">ing, maintaining, and managing </w:t>
            </w:r>
            <w:r>
              <w:t>W</w:t>
            </w:r>
            <w:r w:rsidRPr="00BA3ED5">
              <w:t xml:space="preserve">astewater </w:t>
            </w:r>
            <w:r>
              <w:t>S</w:t>
            </w:r>
            <w:r w:rsidRPr="00BA3ED5">
              <w:t>ystems</w:t>
            </w:r>
            <w:r>
              <w:t xml:space="preserve"> and Facilities relative to the size of the system</w:t>
            </w:r>
            <w:r w:rsidRPr="00BA3ED5">
              <w:t>.</w:t>
            </w:r>
          </w:p>
        </w:tc>
      </w:tr>
      <w:tr w:rsidR="005F686C" w14:paraId="178E1516" w14:textId="77777777" w:rsidTr="00762D70">
        <w:tc>
          <w:tcPr>
            <w:tcW w:w="2160" w:type="dxa"/>
            <w:vMerge/>
          </w:tcPr>
          <w:p w14:paraId="6029043D" w14:textId="77777777" w:rsidR="005F686C" w:rsidRDefault="005F686C" w:rsidP="00A9494B"/>
        </w:tc>
        <w:tc>
          <w:tcPr>
            <w:tcW w:w="2880" w:type="dxa"/>
          </w:tcPr>
          <w:p w14:paraId="125E3FF2" w14:textId="6C367115" w:rsidR="005F686C" w:rsidRDefault="005F686C" w:rsidP="00A9494B">
            <w:r>
              <w:t>&lt;15% of system being cleaned annually</w:t>
            </w:r>
          </w:p>
          <w:p w14:paraId="397727A4" w14:textId="77777777" w:rsidR="005F686C" w:rsidRDefault="005F686C" w:rsidP="00A9494B"/>
          <w:p w14:paraId="20948124" w14:textId="42775A12" w:rsidR="005F686C" w:rsidRDefault="005F686C" w:rsidP="00A9494B">
            <w:r w:rsidRPr="00B83BB4">
              <w:rPr>
                <w:i/>
                <w:iCs/>
                <w:sz w:val="18"/>
                <w:szCs w:val="18"/>
              </w:rPr>
              <w:t>(S</w:t>
            </w:r>
            <w:r>
              <w:rPr>
                <w:i/>
                <w:iCs/>
                <w:sz w:val="18"/>
                <w:szCs w:val="18"/>
              </w:rPr>
              <w:t>SO</w:t>
            </w:r>
            <w:r w:rsidRPr="00B83BB4">
              <w:rPr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5760" w:type="dxa"/>
          </w:tcPr>
          <w:p w14:paraId="7C2AF88C" w14:textId="6896DE2F" w:rsidR="005F686C" w:rsidRDefault="005F686C" w:rsidP="00A9494B">
            <w:r>
              <w:t xml:space="preserve">Indicated inadequate system maintenance, risking system inefficiency or failure. </w:t>
            </w:r>
          </w:p>
        </w:tc>
      </w:tr>
      <w:tr w:rsidR="005F686C" w14:paraId="2B94B50B" w14:textId="77777777" w:rsidTr="00762D70">
        <w:tc>
          <w:tcPr>
            <w:tcW w:w="2160" w:type="dxa"/>
            <w:vMerge/>
          </w:tcPr>
          <w:p w14:paraId="64B4A3E7" w14:textId="77777777" w:rsidR="005F686C" w:rsidRDefault="005F686C" w:rsidP="00A9494B"/>
        </w:tc>
        <w:tc>
          <w:tcPr>
            <w:tcW w:w="2880" w:type="dxa"/>
          </w:tcPr>
          <w:p w14:paraId="48DE32D8" w14:textId="75B77F16" w:rsidR="005F686C" w:rsidRDefault="005F686C" w:rsidP="00A9494B">
            <w:r>
              <w:t>&lt;10% of system being inspected with closed-circuit television (CCTV) annually</w:t>
            </w:r>
          </w:p>
          <w:p w14:paraId="0C5DC736" w14:textId="77777777" w:rsidR="005F686C" w:rsidRDefault="005F686C" w:rsidP="00A9494B">
            <w:pPr>
              <w:rPr>
                <w:i/>
                <w:iCs/>
                <w:sz w:val="18"/>
                <w:szCs w:val="18"/>
              </w:rPr>
            </w:pPr>
          </w:p>
          <w:p w14:paraId="0100B19C" w14:textId="1497540B" w:rsidR="005F686C" w:rsidRDefault="005F686C" w:rsidP="00A9494B">
            <w:r>
              <w:rPr>
                <w:i/>
                <w:iCs/>
                <w:sz w:val="18"/>
                <w:szCs w:val="18"/>
              </w:rPr>
              <w:t>(</w:t>
            </w:r>
            <w:r w:rsidRPr="00B83BB4">
              <w:rPr>
                <w:i/>
                <w:iCs/>
                <w:sz w:val="18"/>
                <w:szCs w:val="18"/>
              </w:rPr>
              <w:t>S</w:t>
            </w:r>
            <w:r>
              <w:rPr>
                <w:i/>
                <w:iCs/>
                <w:sz w:val="18"/>
                <w:szCs w:val="18"/>
              </w:rPr>
              <w:t>SO</w:t>
            </w:r>
            <w:r w:rsidRPr="00B83BB4">
              <w:rPr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5760" w:type="dxa"/>
          </w:tcPr>
          <w:p w14:paraId="12AA553D" w14:textId="54B13F42" w:rsidR="005F686C" w:rsidRDefault="005F686C" w:rsidP="00A9494B">
            <w:r>
              <w:t xml:space="preserve">Indicated inadequate inspection practices, increasing the likelihood of undetected issues and reducing system reliability. </w:t>
            </w:r>
          </w:p>
        </w:tc>
      </w:tr>
      <w:tr w:rsidR="005F686C" w14:paraId="6D229963" w14:textId="77777777" w:rsidTr="00762D70">
        <w:tc>
          <w:tcPr>
            <w:tcW w:w="2160" w:type="dxa"/>
            <w:vMerge/>
          </w:tcPr>
          <w:p w14:paraId="35026D30" w14:textId="77777777" w:rsidR="005F686C" w:rsidRDefault="005F686C" w:rsidP="00A9494B"/>
        </w:tc>
        <w:tc>
          <w:tcPr>
            <w:tcW w:w="2880" w:type="dxa"/>
          </w:tcPr>
          <w:p w14:paraId="6D8BA808" w14:textId="2895B2A7" w:rsidR="005F686C" w:rsidRDefault="005F686C" w:rsidP="00A9494B">
            <w:r>
              <w:t>Relative System Capacity</w:t>
            </w:r>
          </w:p>
          <w:p w14:paraId="323C60E6" w14:textId="77777777" w:rsidR="0086151F" w:rsidRDefault="0086151F" w:rsidP="00A9494B">
            <w:pPr>
              <w:rPr>
                <w:i/>
                <w:iCs/>
                <w:sz w:val="18"/>
                <w:szCs w:val="18"/>
              </w:rPr>
            </w:pPr>
          </w:p>
          <w:p w14:paraId="3923A7D6" w14:textId="73A8EA96" w:rsidR="005F686C" w:rsidRPr="00EC6754" w:rsidRDefault="005F686C" w:rsidP="00A9494B">
            <w:pPr>
              <w:rPr>
                <w:i/>
                <w:iCs/>
                <w:sz w:val="18"/>
                <w:szCs w:val="18"/>
              </w:rPr>
            </w:pPr>
            <w:r w:rsidRPr="00EC6754">
              <w:rPr>
                <w:i/>
                <w:iCs/>
                <w:sz w:val="18"/>
                <w:szCs w:val="18"/>
              </w:rPr>
              <w:t>(S</w:t>
            </w:r>
            <w:r>
              <w:rPr>
                <w:i/>
                <w:iCs/>
                <w:sz w:val="18"/>
                <w:szCs w:val="18"/>
              </w:rPr>
              <w:t>SO</w:t>
            </w:r>
            <w:r w:rsidRPr="00EC6754">
              <w:rPr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5760" w:type="dxa"/>
          </w:tcPr>
          <w:p w14:paraId="27EA9353" w14:textId="57097125" w:rsidR="005F686C" w:rsidRDefault="005F686C" w:rsidP="00A9494B">
            <w:r w:rsidRPr="00BA3ED5">
              <w:t xml:space="preserve">The </w:t>
            </w:r>
            <w:r>
              <w:t xml:space="preserve">designed flow capacity of a system relative to the total number of people served by the system. </w:t>
            </w:r>
          </w:p>
        </w:tc>
      </w:tr>
      <w:tr w:rsidR="005F686C" w14:paraId="2A0DF512" w14:textId="77777777" w:rsidTr="00762D70">
        <w:tc>
          <w:tcPr>
            <w:tcW w:w="2160" w:type="dxa"/>
            <w:vMerge/>
          </w:tcPr>
          <w:p w14:paraId="34121592" w14:textId="77777777" w:rsidR="005F686C" w:rsidRDefault="005F686C" w:rsidP="00A9494B"/>
        </w:tc>
        <w:tc>
          <w:tcPr>
            <w:tcW w:w="2880" w:type="dxa"/>
          </w:tcPr>
          <w:p w14:paraId="6EA2E191" w14:textId="2CB77054" w:rsidR="005F686C" w:rsidRDefault="00CF4D1B" w:rsidP="00A9494B">
            <w:r>
              <w:t>&gt;</w:t>
            </w:r>
            <w:r w:rsidR="005F686C">
              <w:t>40% of system older than 1950</w:t>
            </w:r>
          </w:p>
          <w:p w14:paraId="00A1D46C" w14:textId="77777777" w:rsidR="005F686C" w:rsidRDefault="005F686C" w:rsidP="00A9494B">
            <w:pPr>
              <w:rPr>
                <w:i/>
                <w:iCs/>
                <w:sz w:val="18"/>
                <w:szCs w:val="18"/>
              </w:rPr>
            </w:pPr>
          </w:p>
          <w:p w14:paraId="34D2646C" w14:textId="376A7CFF" w:rsidR="005F686C" w:rsidRPr="00BA3ED5" w:rsidRDefault="005F686C" w:rsidP="00A9494B">
            <w:pPr>
              <w:rPr>
                <w:i/>
                <w:iCs/>
                <w:sz w:val="18"/>
                <w:szCs w:val="18"/>
              </w:rPr>
            </w:pPr>
            <w:r w:rsidRPr="00EC6754">
              <w:rPr>
                <w:i/>
                <w:iCs/>
                <w:sz w:val="18"/>
                <w:szCs w:val="18"/>
              </w:rPr>
              <w:t>(S</w:t>
            </w:r>
            <w:r>
              <w:rPr>
                <w:i/>
                <w:iCs/>
                <w:sz w:val="18"/>
                <w:szCs w:val="18"/>
              </w:rPr>
              <w:t>SO</w:t>
            </w:r>
            <w:r w:rsidRPr="00EC6754">
              <w:rPr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5760" w:type="dxa"/>
          </w:tcPr>
          <w:p w14:paraId="066349AC" w14:textId="42D0C4EF" w:rsidR="005F686C" w:rsidRDefault="005F686C" w:rsidP="00A9494B">
            <w:r>
              <w:t xml:space="preserve">System may be more likely to experience structural failures, capacity issues, and increased maintenance. </w:t>
            </w:r>
          </w:p>
        </w:tc>
      </w:tr>
      <w:tr w:rsidR="005F686C" w14:paraId="75D4E741" w14:textId="77777777" w:rsidTr="00762D70">
        <w:tc>
          <w:tcPr>
            <w:tcW w:w="2160" w:type="dxa"/>
            <w:vMerge/>
          </w:tcPr>
          <w:p w14:paraId="27275CAE" w14:textId="77777777" w:rsidR="005F686C" w:rsidRDefault="005F686C" w:rsidP="00A9494B"/>
        </w:tc>
        <w:tc>
          <w:tcPr>
            <w:tcW w:w="2880" w:type="dxa"/>
          </w:tcPr>
          <w:p w14:paraId="797A0002" w14:textId="77777777" w:rsidR="005F686C" w:rsidRDefault="005F686C" w:rsidP="00A9494B">
            <w:r w:rsidRPr="00BA3ED5">
              <w:t>System Governance</w:t>
            </w:r>
          </w:p>
          <w:p w14:paraId="10DEECF2" w14:textId="77777777" w:rsidR="0086151F" w:rsidRDefault="0086151F" w:rsidP="00A9494B">
            <w:pPr>
              <w:rPr>
                <w:i/>
                <w:iCs/>
                <w:sz w:val="18"/>
                <w:szCs w:val="18"/>
              </w:rPr>
            </w:pPr>
          </w:p>
          <w:p w14:paraId="2C1B445F" w14:textId="0E0FD805" w:rsidR="005F686C" w:rsidRPr="00BA3ED5" w:rsidRDefault="005F686C" w:rsidP="00A9494B">
            <w:r w:rsidRPr="00B83BB4">
              <w:rPr>
                <w:i/>
                <w:iCs/>
                <w:sz w:val="18"/>
                <w:szCs w:val="18"/>
              </w:rPr>
              <w:t>(N</w:t>
            </w:r>
            <w:r>
              <w:rPr>
                <w:i/>
                <w:iCs/>
                <w:sz w:val="18"/>
                <w:szCs w:val="18"/>
              </w:rPr>
              <w:t>PDES</w:t>
            </w:r>
            <w:r w:rsidRPr="00B83BB4">
              <w:rPr>
                <w:i/>
                <w:iCs/>
                <w:sz w:val="18"/>
                <w:szCs w:val="18"/>
              </w:rPr>
              <w:t>, W</w:t>
            </w:r>
            <w:r>
              <w:rPr>
                <w:i/>
                <w:iCs/>
                <w:sz w:val="18"/>
                <w:szCs w:val="18"/>
              </w:rPr>
              <w:t>DR</w:t>
            </w:r>
            <w:r w:rsidRPr="00B83BB4">
              <w:rPr>
                <w:i/>
                <w:iCs/>
                <w:sz w:val="18"/>
                <w:szCs w:val="18"/>
              </w:rPr>
              <w:t>, S</w:t>
            </w:r>
            <w:r>
              <w:rPr>
                <w:i/>
                <w:iCs/>
                <w:sz w:val="18"/>
                <w:szCs w:val="18"/>
              </w:rPr>
              <w:t>SO</w:t>
            </w:r>
            <w:r w:rsidRPr="00B83BB4">
              <w:rPr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5760" w:type="dxa"/>
          </w:tcPr>
          <w:p w14:paraId="2D1ABD17" w14:textId="5334AB12" w:rsidR="005F686C" w:rsidRDefault="005F686C" w:rsidP="00A9494B">
            <w:r w:rsidRPr="00BA3ED5">
              <w:t xml:space="preserve">The entity </w:t>
            </w:r>
            <w:r>
              <w:t xml:space="preserve">that </w:t>
            </w:r>
            <w:r w:rsidRPr="00BA3ED5">
              <w:t xml:space="preserve">oversees the operation and maintenance of </w:t>
            </w:r>
            <w:r>
              <w:t>a Wastewater System and Facility.</w:t>
            </w:r>
          </w:p>
        </w:tc>
      </w:tr>
      <w:tr w:rsidR="005F686C" w14:paraId="4DAF14CF" w14:textId="77777777" w:rsidTr="00762D70">
        <w:tc>
          <w:tcPr>
            <w:tcW w:w="2160" w:type="dxa"/>
            <w:vMerge/>
          </w:tcPr>
          <w:p w14:paraId="203B1FE3" w14:textId="77777777" w:rsidR="005F686C" w:rsidRDefault="005F686C" w:rsidP="00A9494B"/>
        </w:tc>
        <w:tc>
          <w:tcPr>
            <w:tcW w:w="2880" w:type="dxa"/>
          </w:tcPr>
          <w:p w14:paraId="70FB4828" w14:textId="77777777" w:rsidR="005F686C" w:rsidRDefault="005F686C" w:rsidP="00A9494B">
            <w:r w:rsidRPr="00BA3ED5">
              <w:t>Operator Certification</w:t>
            </w:r>
          </w:p>
          <w:p w14:paraId="42C1E73B" w14:textId="77777777" w:rsidR="005F686C" w:rsidRDefault="005F686C" w:rsidP="00A9494B">
            <w:pPr>
              <w:rPr>
                <w:i/>
                <w:iCs/>
                <w:sz w:val="18"/>
                <w:szCs w:val="18"/>
              </w:rPr>
            </w:pPr>
          </w:p>
          <w:p w14:paraId="22246933" w14:textId="77777777" w:rsidR="0086151F" w:rsidRDefault="0086151F" w:rsidP="00A9494B">
            <w:pPr>
              <w:rPr>
                <w:i/>
                <w:iCs/>
                <w:sz w:val="18"/>
                <w:szCs w:val="18"/>
              </w:rPr>
            </w:pPr>
          </w:p>
          <w:p w14:paraId="17430FB3" w14:textId="515E1A51" w:rsidR="005F686C" w:rsidRPr="00BA3ED5" w:rsidRDefault="005F686C" w:rsidP="00A9494B">
            <w:r w:rsidRPr="00EC6754">
              <w:rPr>
                <w:i/>
                <w:iCs/>
                <w:sz w:val="18"/>
                <w:szCs w:val="18"/>
              </w:rPr>
              <w:t>(</w:t>
            </w:r>
            <w:r>
              <w:rPr>
                <w:i/>
                <w:iCs/>
                <w:sz w:val="18"/>
                <w:szCs w:val="18"/>
              </w:rPr>
              <w:t xml:space="preserve">NPDES, WDR, </w:t>
            </w:r>
            <w:r w:rsidRPr="00EC6754">
              <w:rPr>
                <w:i/>
                <w:iCs/>
                <w:sz w:val="18"/>
                <w:szCs w:val="18"/>
              </w:rPr>
              <w:t>S</w:t>
            </w:r>
            <w:r>
              <w:rPr>
                <w:i/>
                <w:iCs/>
                <w:sz w:val="18"/>
                <w:szCs w:val="18"/>
              </w:rPr>
              <w:t>SO</w:t>
            </w:r>
            <w:r w:rsidRPr="00EC6754">
              <w:rPr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5760" w:type="dxa"/>
          </w:tcPr>
          <w:p w14:paraId="02BDFD67" w14:textId="2E79A50C" w:rsidR="005F686C" w:rsidRDefault="005F686C" w:rsidP="00A9494B">
            <w:r w:rsidRPr="00BA3ED5">
              <w:t>Measures if a certified operator is present at a wastewater treatment facility and</w:t>
            </w:r>
            <w:r>
              <w:t>,</w:t>
            </w:r>
            <w:r w:rsidRPr="00BA3ED5">
              <w:t xml:space="preserve"> if so, if the certification is sufficient for the</w:t>
            </w:r>
            <w:r>
              <w:t xml:space="preserve"> Wastewater System and Facility.</w:t>
            </w:r>
          </w:p>
        </w:tc>
      </w:tr>
      <w:tr w:rsidR="005F686C" w14:paraId="5EBBA09B" w14:textId="77777777" w:rsidTr="00762D70">
        <w:tc>
          <w:tcPr>
            <w:tcW w:w="2160" w:type="dxa"/>
            <w:vMerge/>
          </w:tcPr>
          <w:p w14:paraId="4DB1A8A0" w14:textId="77777777" w:rsidR="005F686C" w:rsidRDefault="005F686C" w:rsidP="00A9494B"/>
        </w:tc>
        <w:tc>
          <w:tcPr>
            <w:tcW w:w="2880" w:type="dxa"/>
          </w:tcPr>
          <w:p w14:paraId="130BCAC6" w14:textId="77777777" w:rsidR="005F686C" w:rsidRDefault="005F686C" w:rsidP="00A9494B">
            <w:r w:rsidRPr="00BA3ED5">
              <w:t xml:space="preserve">Future Permit Limit </w:t>
            </w:r>
          </w:p>
          <w:p w14:paraId="528A0922" w14:textId="522FE908" w:rsidR="005F686C" w:rsidRDefault="005F686C" w:rsidP="00A9494B">
            <w:r w:rsidRPr="00BA3ED5">
              <w:t>Additions</w:t>
            </w:r>
          </w:p>
          <w:p w14:paraId="249C4652" w14:textId="77777777" w:rsidR="005F686C" w:rsidRDefault="005F686C" w:rsidP="00A9494B"/>
          <w:p w14:paraId="069D41E1" w14:textId="77777777" w:rsidR="005F686C" w:rsidRDefault="005F686C" w:rsidP="00A9494B"/>
          <w:p w14:paraId="6DCCE3D2" w14:textId="77777777" w:rsidR="005F686C" w:rsidRDefault="005F686C" w:rsidP="00A9494B">
            <w:pPr>
              <w:rPr>
                <w:i/>
                <w:iCs/>
                <w:sz w:val="18"/>
                <w:szCs w:val="18"/>
              </w:rPr>
            </w:pPr>
          </w:p>
          <w:p w14:paraId="6B419E72" w14:textId="77777777" w:rsidR="005F686C" w:rsidRDefault="005F686C" w:rsidP="00A9494B">
            <w:pPr>
              <w:rPr>
                <w:i/>
                <w:iCs/>
                <w:sz w:val="18"/>
                <w:szCs w:val="18"/>
              </w:rPr>
            </w:pPr>
          </w:p>
          <w:p w14:paraId="339EEA8A" w14:textId="4F686BA8" w:rsidR="005F686C" w:rsidRPr="00EC6754" w:rsidRDefault="005F686C" w:rsidP="00A9494B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(NPDES)</w:t>
            </w:r>
          </w:p>
        </w:tc>
        <w:tc>
          <w:tcPr>
            <w:tcW w:w="5760" w:type="dxa"/>
          </w:tcPr>
          <w:p w14:paraId="72987B35" w14:textId="08B9D9BA" w:rsidR="005F686C" w:rsidRPr="00E22554" w:rsidRDefault="005F686C" w:rsidP="00A9494B">
            <w:r w:rsidRPr="00E22554">
              <w:rPr>
                <w:rFonts w:cs="Helvetica Neue"/>
                <w:color w:val="000000"/>
                <w:kern w:val="0"/>
              </w:rPr>
              <w:t xml:space="preserve">NPDES-permitted </w:t>
            </w:r>
            <w:r>
              <w:rPr>
                <w:rFonts w:cs="Helvetica Neue"/>
                <w:color w:val="000000"/>
                <w:kern w:val="0"/>
              </w:rPr>
              <w:t>Wastewater Systems and F</w:t>
            </w:r>
            <w:r w:rsidRPr="00E22554">
              <w:rPr>
                <w:rFonts w:cs="Helvetica Neue"/>
                <w:color w:val="000000"/>
                <w:kern w:val="0"/>
              </w:rPr>
              <w:t>acilities typically follow secondary treatment standards. However, facilities discharging into impaired or effluent-dominated waterbodies with beneficial uses must meet tertiary treatment standards and may face stricter limits in the future.</w:t>
            </w:r>
          </w:p>
        </w:tc>
      </w:tr>
      <w:tr w:rsidR="005F686C" w14:paraId="71A43AAD" w14:textId="77777777" w:rsidTr="00762D70">
        <w:tc>
          <w:tcPr>
            <w:tcW w:w="2160" w:type="dxa"/>
            <w:vMerge/>
          </w:tcPr>
          <w:p w14:paraId="31D57F7D" w14:textId="77777777" w:rsidR="005F686C" w:rsidRDefault="005F686C" w:rsidP="00A9494B"/>
        </w:tc>
        <w:tc>
          <w:tcPr>
            <w:tcW w:w="2880" w:type="dxa"/>
          </w:tcPr>
          <w:p w14:paraId="34B582C8" w14:textId="77777777" w:rsidR="005F686C" w:rsidRDefault="005F686C" w:rsidP="00A9494B">
            <w:r>
              <w:t>Design Flow vs. Actual Flow</w:t>
            </w:r>
          </w:p>
          <w:p w14:paraId="3782285C" w14:textId="77777777" w:rsidR="005F686C" w:rsidRDefault="005F686C" w:rsidP="00A9494B"/>
          <w:p w14:paraId="6D132E6D" w14:textId="77777777" w:rsidR="005F686C" w:rsidRDefault="005F686C" w:rsidP="00A9494B">
            <w:pPr>
              <w:rPr>
                <w:i/>
                <w:iCs/>
                <w:sz w:val="18"/>
                <w:szCs w:val="18"/>
              </w:rPr>
            </w:pPr>
          </w:p>
          <w:p w14:paraId="6688A55D" w14:textId="6272E6F5" w:rsidR="005F686C" w:rsidRPr="00DC5A98" w:rsidRDefault="005F686C" w:rsidP="00A9494B">
            <w:pPr>
              <w:rPr>
                <w:i/>
                <w:iCs/>
                <w:sz w:val="18"/>
                <w:szCs w:val="18"/>
              </w:rPr>
            </w:pPr>
            <w:r w:rsidRPr="00DC5A98">
              <w:rPr>
                <w:i/>
                <w:iCs/>
                <w:sz w:val="18"/>
                <w:szCs w:val="18"/>
              </w:rPr>
              <w:t>(N</w:t>
            </w:r>
            <w:r>
              <w:rPr>
                <w:i/>
                <w:iCs/>
                <w:sz w:val="18"/>
                <w:szCs w:val="18"/>
              </w:rPr>
              <w:t>PDES</w:t>
            </w:r>
            <w:r w:rsidRPr="00DC5A98">
              <w:rPr>
                <w:i/>
                <w:iCs/>
                <w:sz w:val="18"/>
                <w:szCs w:val="18"/>
              </w:rPr>
              <w:t>, W</w:t>
            </w:r>
            <w:r>
              <w:rPr>
                <w:i/>
                <w:iCs/>
                <w:sz w:val="18"/>
                <w:szCs w:val="18"/>
              </w:rPr>
              <w:t>DR</w:t>
            </w:r>
            <w:r w:rsidRPr="00DC5A98">
              <w:rPr>
                <w:i/>
                <w:iCs/>
                <w:sz w:val="18"/>
                <w:szCs w:val="18"/>
              </w:rPr>
              <w:t>, S</w:t>
            </w:r>
            <w:r>
              <w:rPr>
                <w:i/>
                <w:iCs/>
                <w:sz w:val="18"/>
                <w:szCs w:val="18"/>
              </w:rPr>
              <w:t>SO</w:t>
            </w:r>
            <w:r w:rsidRPr="00DC5A98">
              <w:rPr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5760" w:type="dxa"/>
          </w:tcPr>
          <w:p w14:paraId="233CE184" w14:textId="73A44767" w:rsidR="005F686C" w:rsidRPr="007E2E6F" w:rsidRDefault="005F686C" w:rsidP="00A9494B">
            <w:r>
              <w:t xml:space="preserve">Measures the peak flow volume that a Wastewater System and Facility is designed to process compared to the amount the system is truly processing. Identifies overburdened systems. </w:t>
            </w:r>
          </w:p>
        </w:tc>
      </w:tr>
      <w:tr w:rsidR="005F686C" w14:paraId="36B2EF20" w14:textId="77777777" w:rsidTr="00762D70">
        <w:tc>
          <w:tcPr>
            <w:tcW w:w="2160" w:type="dxa"/>
            <w:vMerge/>
          </w:tcPr>
          <w:p w14:paraId="08F38C57" w14:textId="77777777" w:rsidR="005F686C" w:rsidRDefault="005F686C" w:rsidP="005F686C"/>
        </w:tc>
        <w:tc>
          <w:tcPr>
            <w:tcW w:w="2880" w:type="dxa"/>
          </w:tcPr>
          <w:p w14:paraId="033049AD" w14:textId="77777777" w:rsidR="005F686C" w:rsidRDefault="005F686C" w:rsidP="005F686C">
            <w:r w:rsidRPr="00BA3ED5">
              <w:t>Depopulation</w:t>
            </w:r>
          </w:p>
          <w:p w14:paraId="6E872792" w14:textId="77777777" w:rsidR="005F686C" w:rsidRDefault="005F686C" w:rsidP="005F686C"/>
          <w:p w14:paraId="5205EEF2" w14:textId="77777777" w:rsidR="005F686C" w:rsidRDefault="005F686C" w:rsidP="005F686C"/>
          <w:p w14:paraId="48ACA1D7" w14:textId="77777777" w:rsidR="005F686C" w:rsidRDefault="005F686C" w:rsidP="005F686C"/>
          <w:p w14:paraId="025B8A2D" w14:textId="21C98C79" w:rsidR="005F686C" w:rsidRDefault="005F686C" w:rsidP="005F686C">
            <w:r w:rsidRPr="00B83BB4">
              <w:rPr>
                <w:i/>
                <w:iCs/>
                <w:sz w:val="18"/>
                <w:szCs w:val="18"/>
              </w:rPr>
              <w:t>(N</w:t>
            </w:r>
            <w:r>
              <w:rPr>
                <w:i/>
                <w:iCs/>
                <w:sz w:val="18"/>
                <w:szCs w:val="18"/>
              </w:rPr>
              <w:t>PDES</w:t>
            </w:r>
            <w:r w:rsidRPr="00B83BB4">
              <w:rPr>
                <w:i/>
                <w:iCs/>
                <w:sz w:val="18"/>
                <w:szCs w:val="18"/>
              </w:rPr>
              <w:t>, W</w:t>
            </w:r>
            <w:r>
              <w:rPr>
                <w:i/>
                <w:iCs/>
                <w:sz w:val="18"/>
                <w:szCs w:val="18"/>
              </w:rPr>
              <w:t>DR</w:t>
            </w:r>
            <w:r w:rsidRPr="00B83BB4">
              <w:rPr>
                <w:i/>
                <w:iCs/>
                <w:sz w:val="18"/>
                <w:szCs w:val="18"/>
              </w:rPr>
              <w:t>, S</w:t>
            </w:r>
            <w:r>
              <w:rPr>
                <w:i/>
                <w:iCs/>
                <w:sz w:val="18"/>
                <w:szCs w:val="18"/>
              </w:rPr>
              <w:t>SO</w:t>
            </w:r>
            <w:r w:rsidRPr="00B83BB4">
              <w:rPr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5760" w:type="dxa"/>
          </w:tcPr>
          <w:p w14:paraId="0CD0860A" w14:textId="4C1ECFDA" w:rsidR="005F686C" w:rsidRDefault="005F686C" w:rsidP="005F686C">
            <w:r w:rsidRPr="00BA3ED5">
              <w:t>Measures the population decline of areas served by a</w:t>
            </w:r>
            <w:r>
              <w:t xml:space="preserve"> W</w:t>
            </w:r>
            <w:r w:rsidRPr="00BA3ED5">
              <w:t xml:space="preserve">astewater </w:t>
            </w:r>
            <w:r>
              <w:t>S</w:t>
            </w:r>
            <w:r w:rsidRPr="00BA3ED5">
              <w:t>ystem</w:t>
            </w:r>
            <w:r>
              <w:t xml:space="preserve"> and Facility</w:t>
            </w:r>
            <w:r w:rsidRPr="00BA3ED5">
              <w:t>.</w:t>
            </w:r>
            <w:r>
              <w:t xml:space="preserve"> </w:t>
            </w:r>
            <w:r w:rsidRPr="00BA3ED5">
              <w:t>A decreased customer-base can</w:t>
            </w:r>
            <w:r>
              <w:t xml:space="preserve"> lead to difficulties</w:t>
            </w:r>
            <w:r w:rsidRPr="00BA3ED5">
              <w:t xml:space="preserve"> covering fixed-costs to maintena</w:t>
            </w:r>
            <w:r>
              <w:t xml:space="preserve">nce </w:t>
            </w:r>
            <w:r w:rsidRPr="00BA3ED5">
              <w:t>and update</w:t>
            </w:r>
            <w:r>
              <w:t>s.</w:t>
            </w:r>
          </w:p>
        </w:tc>
      </w:tr>
      <w:tr w:rsidR="005F686C" w14:paraId="37E117B5" w14:textId="77777777" w:rsidTr="00762D70">
        <w:tc>
          <w:tcPr>
            <w:tcW w:w="2160" w:type="dxa"/>
            <w:vMerge/>
          </w:tcPr>
          <w:p w14:paraId="64ADE913" w14:textId="77777777" w:rsidR="005F686C" w:rsidRDefault="005F686C" w:rsidP="005F686C"/>
        </w:tc>
        <w:tc>
          <w:tcPr>
            <w:tcW w:w="2880" w:type="dxa"/>
          </w:tcPr>
          <w:p w14:paraId="5518CC7D" w14:textId="77777777" w:rsidR="005F686C" w:rsidRDefault="005F686C" w:rsidP="005F686C">
            <w:r w:rsidRPr="00BA3ED5">
              <w:t>Population Growth</w:t>
            </w:r>
          </w:p>
          <w:p w14:paraId="3369BFA3" w14:textId="77777777" w:rsidR="005F686C" w:rsidRDefault="005F686C" w:rsidP="005F686C"/>
          <w:p w14:paraId="7AE99D17" w14:textId="77777777" w:rsidR="005F686C" w:rsidRDefault="005F686C" w:rsidP="005F686C"/>
          <w:p w14:paraId="6F3C6321" w14:textId="77777777" w:rsidR="005F686C" w:rsidRDefault="005F686C" w:rsidP="005F686C">
            <w:pPr>
              <w:rPr>
                <w:i/>
                <w:iCs/>
                <w:sz w:val="18"/>
                <w:szCs w:val="18"/>
              </w:rPr>
            </w:pPr>
          </w:p>
          <w:p w14:paraId="7ED358B6" w14:textId="7AB3D8DA" w:rsidR="005F686C" w:rsidRDefault="005F686C" w:rsidP="005F686C">
            <w:r w:rsidRPr="00B83BB4">
              <w:rPr>
                <w:i/>
                <w:iCs/>
                <w:sz w:val="18"/>
                <w:szCs w:val="18"/>
              </w:rPr>
              <w:t>(N</w:t>
            </w:r>
            <w:r>
              <w:rPr>
                <w:i/>
                <w:iCs/>
                <w:sz w:val="18"/>
                <w:szCs w:val="18"/>
              </w:rPr>
              <w:t>PDES</w:t>
            </w:r>
            <w:r w:rsidRPr="00B83BB4">
              <w:rPr>
                <w:i/>
                <w:iCs/>
                <w:sz w:val="18"/>
                <w:szCs w:val="18"/>
              </w:rPr>
              <w:t>, W</w:t>
            </w:r>
            <w:r>
              <w:rPr>
                <w:i/>
                <w:iCs/>
                <w:sz w:val="18"/>
                <w:szCs w:val="18"/>
              </w:rPr>
              <w:t>DR</w:t>
            </w:r>
            <w:r w:rsidRPr="00B83BB4">
              <w:rPr>
                <w:i/>
                <w:iCs/>
                <w:sz w:val="18"/>
                <w:szCs w:val="18"/>
              </w:rPr>
              <w:t>, S</w:t>
            </w:r>
            <w:r>
              <w:rPr>
                <w:i/>
                <w:iCs/>
                <w:sz w:val="18"/>
                <w:szCs w:val="18"/>
              </w:rPr>
              <w:t>SO</w:t>
            </w:r>
            <w:r w:rsidRPr="00B83BB4">
              <w:rPr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5760" w:type="dxa"/>
          </w:tcPr>
          <w:p w14:paraId="0CFF4404" w14:textId="60932ABD" w:rsidR="005F686C" w:rsidRDefault="005F686C" w:rsidP="005F686C">
            <w:r w:rsidRPr="00BA3ED5">
              <w:t xml:space="preserve">The increase </w:t>
            </w:r>
            <w:r>
              <w:t>in</w:t>
            </w:r>
            <w:r w:rsidRPr="00BA3ED5">
              <w:t xml:space="preserve"> the population served by a </w:t>
            </w:r>
            <w:r>
              <w:t>W</w:t>
            </w:r>
            <w:r w:rsidRPr="00BA3ED5">
              <w:t xml:space="preserve">astewater </w:t>
            </w:r>
            <w:r>
              <w:t>S</w:t>
            </w:r>
            <w:r w:rsidRPr="00BA3ED5">
              <w:t>ystem</w:t>
            </w:r>
            <w:r>
              <w:t xml:space="preserve"> and Facility</w:t>
            </w:r>
            <w:r w:rsidRPr="00BA3ED5">
              <w:t>.</w:t>
            </w:r>
            <w:r>
              <w:t xml:space="preserve"> </w:t>
            </w:r>
            <w:r w:rsidRPr="00BA3ED5">
              <w:t>Rapid population growth can lead to hydraulic overloading and operational constraints</w:t>
            </w:r>
            <w:r>
              <w:t>.</w:t>
            </w:r>
          </w:p>
        </w:tc>
      </w:tr>
      <w:tr w:rsidR="005F686C" w14:paraId="05C2021F" w14:textId="59C55F63" w:rsidTr="00762D70">
        <w:tc>
          <w:tcPr>
            <w:tcW w:w="2160" w:type="dxa"/>
            <w:vMerge w:val="restart"/>
            <w:shd w:val="clear" w:color="auto" w:fill="FFFCCB"/>
          </w:tcPr>
          <w:p w14:paraId="6C7BF928" w14:textId="77777777" w:rsidR="005F686C" w:rsidRDefault="005F686C" w:rsidP="005F686C"/>
          <w:p w14:paraId="0BD632F3" w14:textId="034DDB77" w:rsidR="005F686C" w:rsidRPr="00BA3ED5" w:rsidRDefault="005F686C" w:rsidP="005F68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Environmental</w:t>
            </w:r>
          </w:p>
        </w:tc>
        <w:tc>
          <w:tcPr>
            <w:tcW w:w="2880" w:type="dxa"/>
          </w:tcPr>
          <w:p w14:paraId="7399F421" w14:textId="77777777" w:rsidR="005F686C" w:rsidRDefault="005F686C" w:rsidP="005F686C">
            <w:r w:rsidRPr="00BA3ED5">
              <w:t>Increasing Instances of Near-Discharge Exceedance</w:t>
            </w:r>
          </w:p>
          <w:p w14:paraId="5E8B41B7" w14:textId="77777777" w:rsidR="0086151F" w:rsidRDefault="0086151F" w:rsidP="005F686C">
            <w:pPr>
              <w:rPr>
                <w:sz w:val="18"/>
                <w:szCs w:val="18"/>
              </w:rPr>
            </w:pPr>
          </w:p>
          <w:p w14:paraId="336D5E28" w14:textId="70894E3C" w:rsidR="005F686C" w:rsidRPr="00EC6754" w:rsidRDefault="005F686C" w:rsidP="005F686C">
            <w:pPr>
              <w:rPr>
                <w:sz w:val="18"/>
                <w:szCs w:val="18"/>
              </w:rPr>
            </w:pPr>
            <w:r w:rsidRPr="00EC6754">
              <w:rPr>
                <w:sz w:val="18"/>
                <w:szCs w:val="18"/>
              </w:rPr>
              <w:t>(N</w:t>
            </w:r>
            <w:r>
              <w:rPr>
                <w:sz w:val="18"/>
                <w:szCs w:val="18"/>
              </w:rPr>
              <w:t>PDES</w:t>
            </w:r>
            <w:r w:rsidRPr="00EC6754">
              <w:rPr>
                <w:sz w:val="18"/>
                <w:szCs w:val="18"/>
              </w:rPr>
              <w:t>)</w:t>
            </w:r>
          </w:p>
        </w:tc>
        <w:tc>
          <w:tcPr>
            <w:tcW w:w="5760" w:type="dxa"/>
          </w:tcPr>
          <w:p w14:paraId="03E9313C" w14:textId="0E1ABD52" w:rsidR="005F686C" w:rsidRDefault="005F686C" w:rsidP="005F686C">
            <w:r>
              <w:t>T</w:t>
            </w:r>
            <w:r w:rsidRPr="007E2E6F">
              <w:t xml:space="preserve">rends of </w:t>
            </w:r>
            <w:r>
              <w:t>Wastewater Systems</w:t>
            </w:r>
            <w:r w:rsidRPr="007E2E6F">
              <w:t xml:space="preserve"> </w:t>
            </w:r>
            <w:r>
              <w:t xml:space="preserve">and Facilities </w:t>
            </w:r>
            <w:r w:rsidRPr="007E2E6F">
              <w:t>that may be nearing their limits for priority items like permitted flow</w:t>
            </w:r>
            <w:r>
              <w:t>,</w:t>
            </w:r>
            <w:r w:rsidRPr="007E2E6F">
              <w:t xml:space="preserve"> BOD and nutrient loading, and any local contaminants of concern.</w:t>
            </w:r>
          </w:p>
        </w:tc>
      </w:tr>
      <w:tr w:rsidR="005F686C" w14:paraId="30C55444" w14:textId="77777777" w:rsidTr="00762D70">
        <w:tc>
          <w:tcPr>
            <w:tcW w:w="2160" w:type="dxa"/>
            <w:vMerge/>
          </w:tcPr>
          <w:p w14:paraId="6777C531" w14:textId="77777777" w:rsidR="005F686C" w:rsidRDefault="005F686C" w:rsidP="005F686C"/>
        </w:tc>
        <w:tc>
          <w:tcPr>
            <w:tcW w:w="2880" w:type="dxa"/>
          </w:tcPr>
          <w:p w14:paraId="3D9A7683" w14:textId="77777777" w:rsidR="005F686C" w:rsidRDefault="005F686C" w:rsidP="005F686C">
            <w:r w:rsidRPr="00BA3ED5">
              <w:t>Discharge to impaired water bodies</w:t>
            </w:r>
          </w:p>
          <w:p w14:paraId="7F23736B" w14:textId="77777777" w:rsidR="0086151F" w:rsidRDefault="0086151F" w:rsidP="005F686C"/>
          <w:p w14:paraId="78D4CBDA" w14:textId="194C1662" w:rsidR="005F686C" w:rsidRDefault="005F686C" w:rsidP="005F686C">
            <w:r w:rsidRPr="00B83BB4">
              <w:rPr>
                <w:i/>
                <w:iCs/>
                <w:sz w:val="18"/>
                <w:szCs w:val="18"/>
              </w:rPr>
              <w:t>(N</w:t>
            </w:r>
            <w:r>
              <w:rPr>
                <w:i/>
                <w:iCs/>
                <w:sz w:val="18"/>
                <w:szCs w:val="18"/>
              </w:rPr>
              <w:t>PDES</w:t>
            </w:r>
            <w:r w:rsidRPr="00B83BB4">
              <w:rPr>
                <w:i/>
                <w:iCs/>
                <w:sz w:val="18"/>
                <w:szCs w:val="18"/>
              </w:rPr>
              <w:t>, W</w:t>
            </w:r>
            <w:r>
              <w:rPr>
                <w:i/>
                <w:iCs/>
                <w:sz w:val="18"/>
                <w:szCs w:val="18"/>
              </w:rPr>
              <w:t>DR</w:t>
            </w:r>
            <w:r w:rsidRPr="00B83BB4">
              <w:rPr>
                <w:i/>
                <w:iCs/>
                <w:sz w:val="18"/>
                <w:szCs w:val="18"/>
              </w:rPr>
              <w:t>, S</w:t>
            </w:r>
            <w:r>
              <w:rPr>
                <w:i/>
                <w:iCs/>
                <w:sz w:val="18"/>
                <w:szCs w:val="18"/>
              </w:rPr>
              <w:t>SO</w:t>
            </w:r>
            <w:r w:rsidRPr="00B83BB4">
              <w:rPr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5760" w:type="dxa"/>
          </w:tcPr>
          <w:p w14:paraId="2C2DBFDB" w14:textId="77777777" w:rsidR="00466BD2" w:rsidRPr="00466BD2" w:rsidRDefault="00466BD2" w:rsidP="00466BD2">
            <w:r w:rsidRPr="00466BD2">
              <w:t xml:space="preserve">Identifies systems which may have additional discharge requirements. </w:t>
            </w:r>
          </w:p>
          <w:p w14:paraId="169D6F59" w14:textId="731949B6" w:rsidR="005F686C" w:rsidRDefault="005F686C" w:rsidP="005F686C"/>
        </w:tc>
      </w:tr>
      <w:tr w:rsidR="005F686C" w14:paraId="425D8AF5" w14:textId="77777777" w:rsidTr="00762D70">
        <w:tc>
          <w:tcPr>
            <w:tcW w:w="2160" w:type="dxa"/>
            <w:vMerge/>
          </w:tcPr>
          <w:p w14:paraId="5CFFB586" w14:textId="77777777" w:rsidR="005F686C" w:rsidRDefault="005F686C" w:rsidP="005F686C"/>
        </w:tc>
        <w:tc>
          <w:tcPr>
            <w:tcW w:w="2880" w:type="dxa"/>
          </w:tcPr>
          <w:p w14:paraId="02FCD50F" w14:textId="06248163" w:rsidR="005F686C" w:rsidRDefault="005F686C" w:rsidP="005F686C">
            <w:r w:rsidRPr="00BA3ED5">
              <w:t xml:space="preserve">Drought </w:t>
            </w:r>
          </w:p>
          <w:p w14:paraId="1658354D" w14:textId="77777777" w:rsidR="005F686C" w:rsidRDefault="005F686C" w:rsidP="005F686C"/>
          <w:p w14:paraId="6BFB45DF" w14:textId="77777777" w:rsidR="005F686C" w:rsidRDefault="005F686C" w:rsidP="005F686C">
            <w:pPr>
              <w:rPr>
                <w:i/>
                <w:iCs/>
                <w:sz w:val="18"/>
                <w:szCs w:val="18"/>
              </w:rPr>
            </w:pPr>
          </w:p>
          <w:p w14:paraId="58E3B3DD" w14:textId="789D969C" w:rsidR="005F686C" w:rsidRDefault="005F686C" w:rsidP="005F686C">
            <w:r w:rsidRPr="00B83BB4">
              <w:rPr>
                <w:i/>
                <w:iCs/>
                <w:sz w:val="18"/>
                <w:szCs w:val="18"/>
              </w:rPr>
              <w:t>(N</w:t>
            </w:r>
            <w:r>
              <w:rPr>
                <w:i/>
                <w:iCs/>
                <w:sz w:val="18"/>
                <w:szCs w:val="18"/>
              </w:rPr>
              <w:t>PDES</w:t>
            </w:r>
            <w:r w:rsidRPr="00B83BB4">
              <w:rPr>
                <w:i/>
                <w:iCs/>
                <w:sz w:val="18"/>
                <w:szCs w:val="18"/>
              </w:rPr>
              <w:t>, W</w:t>
            </w:r>
            <w:r>
              <w:rPr>
                <w:i/>
                <w:iCs/>
                <w:sz w:val="18"/>
                <w:szCs w:val="18"/>
              </w:rPr>
              <w:t>DR</w:t>
            </w:r>
            <w:r w:rsidRPr="00B83BB4">
              <w:rPr>
                <w:i/>
                <w:iCs/>
                <w:sz w:val="18"/>
                <w:szCs w:val="18"/>
              </w:rPr>
              <w:t>, S</w:t>
            </w:r>
            <w:r>
              <w:rPr>
                <w:i/>
                <w:iCs/>
                <w:sz w:val="18"/>
                <w:szCs w:val="18"/>
              </w:rPr>
              <w:t>SO</w:t>
            </w:r>
            <w:r w:rsidRPr="00B83BB4">
              <w:rPr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5760" w:type="dxa"/>
          </w:tcPr>
          <w:p w14:paraId="32780B7D" w14:textId="52E521A4" w:rsidR="005F686C" w:rsidRDefault="005F686C" w:rsidP="005F686C">
            <w:r w:rsidRPr="007E2E6F">
              <w:t xml:space="preserve">Shows the location and intensity of drought </w:t>
            </w:r>
            <w:r>
              <w:t xml:space="preserve">across California. Declining water flows can pose risk to Wastewater Systems and Facilities. </w:t>
            </w:r>
          </w:p>
        </w:tc>
      </w:tr>
      <w:tr w:rsidR="005F686C" w14:paraId="5ACF1B78" w14:textId="77777777" w:rsidTr="00762D70">
        <w:tc>
          <w:tcPr>
            <w:tcW w:w="2160" w:type="dxa"/>
            <w:vMerge/>
          </w:tcPr>
          <w:p w14:paraId="5A2CB78A" w14:textId="77777777" w:rsidR="005F686C" w:rsidRDefault="005F686C" w:rsidP="005F686C"/>
        </w:tc>
        <w:tc>
          <w:tcPr>
            <w:tcW w:w="2880" w:type="dxa"/>
          </w:tcPr>
          <w:p w14:paraId="433E80B2" w14:textId="6B0AF338" w:rsidR="005F686C" w:rsidRDefault="005F686C" w:rsidP="005F686C">
            <w:r w:rsidRPr="00BA3ED5">
              <w:t>Flooding</w:t>
            </w:r>
          </w:p>
          <w:p w14:paraId="7B4504AE" w14:textId="77777777" w:rsidR="005F686C" w:rsidRDefault="005F686C" w:rsidP="005F686C">
            <w:pPr>
              <w:rPr>
                <w:i/>
                <w:iCs/>
                <w:sz w:val="18"/>
                <w:szCs w:val="18"/>
              </w:rPr>
            </w:pPr>
          </w:p>
          <w:p w14:paraId="7E099C1E" w14:textId="77777777" w:rsidR="0086151F" w:rsidRDefault="0086151F" w:rsidP="005F686C">
            <w:pPr>
              <w:rPr>
                <w:i/>
                <w:iCs/>
                <w:sz w:val="18"/>
                <w:szCs w:val="18"/>
              </w:rPr>
            </w:pPr>
          </w:p>
          <w:p w14:paraId="0089FD6E" w14:textId="69E47FD9" w:rsidR="005F686C" w:rsidRDefault="005F686C" w:rsidP="005F686C">
            <w:r w:rsidRPr="00B83BB4">
              <w:rPr>
                <w:i/>
                <w:iCs/>
                <w:sz w:val="18"/>
                <w:szCs w:val="18"/>
              </w:rPr>
              <w:t>(N</w:t>
            </w:r>
            <w:r>
              <w:rPr>
                <w:i/>
                <w:iCs/>
                <w:sz w:val="18"/>
                <w:szCs w:val="18"/>
              </w:rPr>
              <w:t>PDES</w:t>
            </w:r>
            <w:r w:rsidRPr="00B83BB4">
              <w:rPr>
                <w:i/>
                <w:iCs/>
                <w:sz w:val="18"/>
                <w:szCs w:val="18"/>
              </w:rPr>
              <w:t>, W</w:t>
            </w:r>
            <w:r>
              <w:rPr>
                <w:i/>
                <w:iCs/>
                <w:sz w:val="18"/>
                <w:szCs w:val="18"/>
              </w:rPr>
              <w:t>DR</w:t>
            </w:r>
            <w:r w:rsidRPr="00B83BB4">
              <w:rPr>
                <w:i/>
                <w:iCs/>
                <w:sz w:val="18"/>
                <w:szCs w:val="18"/>
              </w:rPr>
              <w:t>, S</w:t>
            </w:r>
            <w:r>
              <w:rPr>
                <w:i/>
                <w:iCs/>
                <w:sz w:val="18"/>
                <w:szCs w:val="18"/>
              </w:rPr>
              <w:t>SO</w:t>
            </w:r>
            <w:r w:rsidRPr="00B83BB4">
              <w:rPr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5760" w:type="dxa"/>
          </w:tcPr>
          <w:p w14:paraId="48CC25B3" w14:textId="646A3B9C" w:rsidR="005F686C" w:rsidRDefault="005F686C" w:rsidP="005F686C">
            <w:r w:rsidRPr="007E2E6F">
              <w:t xml:space="preserve">Measures </w:t>
            </w:r>
            <w:r>
              <w:t>flood risk of W</w:t>
            </w:r>
            <w:r w:rsidRPr="007E2E6F">
              <w:t xml:space="preserve">astewater </w:t>
            </w:r>
            <w:r>
              <w:t>S</w:t>
            </w:r>
            <w:r w:rsidRPr="007E2E6F">
              <w:t>ystem</w:t>
            </w:r>
            <w:r>
              <w:t>s and Facilities</w:t>
            </w:r>
            <w:r w:rsidRPr="007E2E6F">
              <w:t>.</w:t>
            </w:r>
            <w:r>
              <w:t xml:space="preserve"> Flooding can lead to infrastructure damage and forced treatment </w:t>
            </w:r>
            <w:r w:rsidRPr="002B375C">
              <w:t>bypass</w:t>
            </w:r>
            <w:r>
              <w:t>.</w:t>
            </w:r>
          </w:p>
        </w:tc>
      </w:tr>
      <w:tr w:rsidR="005F686C" w14:paraId="61965CB5" w14:textId="77777777" w:rsidTr="00762D70">
        <w:tc>
          <w:tcPr>
            <w:tcW w:w="2160" w:type="dxa"/>
            <w:vMerge/>
          </w:tcPr>
          <w:p w14:paraId="37B10628" w14:textId="77777777" w:rsidR="005F686C" w:rsidRDefault="005F686C" w:rsidP="005F686C"/>
        </w:tc>
        <w:tc>
          <w:tcPr>
            <w:tcW w:w="2880" w:type="dxa"/>
          </w:tcPr>
          <w:p w14:paraId="79090F08" w14:textId="77777777" w:rsidR="005F686C" w:rsidRDefault="005F686C" w:rsidP="005F686C">
            <w:r>
              <w:t>Sea Level Rise</w:t>
            </w:r>
          </w:p>
          <w:p w14:paraId="7562A1AD" w14:textId="77777777" w:rsidR="005F686C" w:rsidRDefault="005F686C" w:rsidP="005F686C"/>
          <w:p w14:paraId="572A6370" w14:textId="77777777" w:rsidR="005F686C" w:rsidRDefault="005F686C" w:rsidP="005F686C"/>
          <w:p w14:paraId="0E00B7AD" w14:textId="77777777" w:rsidR="005F686C" w:rsidRDefault="005F686C" w:rsidP="005F686C">
            <w:pPr>
              <w:rPr>
                <w:i/>
                <w:iCs/>
                <w:sz w:val="18"/>
                <w:szCs w:val="18"/>
              </w:rPr>
            </w:pPr>
          </w:p>
          <w:p w14:paraId="1D45FDFB" w14:textId="6353C524" w:rsidR="005F686C" w:rsidRDefault="005F686C" w:rsidP="005F686C">
            <w:r w:rsidRPr="00B83BB4">
              <w:rPr>
                <w:i/>
                <w:iCs/>
                <w:sz w:val="18"/>
                <w:szCs w:val="18"/>
              </w:rPr>
              <w:t>(N</w:t>
            </w:r>
            <w:r>
              <w:rPr>
                <w:i/>
                <w:iCs/>
                <w:sz w:val="18"/>
                <w:szCs w:val="18"/>
              </w:rPr>
              <w:t>PDES</w:t>
            </w:r>
            <w:r w:rsidRPr="00B83BB4">
              <w:rPr>
                <w:i/>
                <w:iCs/>
                <w:sz w:val="18"/>
                <w:szCs w:val="18"/>
              </w:rPr>
              <w:t>, W</w:t>
            </w:r>
            <w:r>
              <w:rPr>
                <w:i/>
                <w:iCs/>
                <w:sz w:val="18"/>
                <w:szCs w:val="18"/>
              </w:rPr>
              <w:t>DR</w:t>
            </w:r>
            <w:r w:rsidRPr="00B83BB4">
              <w:rPr>
                <w:i/>
                <w:iCs/>
                <w:sz w:val="18"/>
                <w:szCs w:val="18"/>
              </w:rPr>
              <w:t>, S</w:t>
            </w:r>
            <w:r>
              <w:rPr>
                <w:i/>
                <w:iCs/>
                <w:sz w:val="18"/>
                <w:szCs w:val="18"/>
              </w:rPr>
              <w:t>SO</w:t>
            </w:r>
            <w:r w:rsidRPr="00B83BB4">
              <w:rPr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5760" w:type="dxa"/>
          </w:tcPr>
          <w:p w14:paraId="212D4AAC" w14:textId="454F6C96" w:rsidR="005F686C" w:rsidRDefault="005F686C" w:rsidP="005F686C">
            <w:r w:rsidRPr="007E2E6F">
              <w:lastRenderedPageBreak/>
              <w:t>Measures projected sea level</w:t>
            </w:r>
            <w:r>
              <w:t xml:space="preserve"> rise. </w:t>
            </w:r>
            <w:r w:rsidRPr="007E2E6F">
              <w:t xml:space="preserve">For coastal </w:t>
            </w:r>
            <w:r>
              <w:t>Wastewater Systems and Facilities</w:t>
            </w:r>
            <w:r w:rsidRPr="007E2E6F">
              <w:t xml:space="preserve">, sea level rise </w:t>
            </w:r>
            <w:r>
              <w:t xml:space="preserve">can </w:t>
            </w:r>
            <w:r w:rsidRPr="007E2E6F">
              <w:t xml:space="preserve">cause flooding or </w:t>
            </w:r>
            <w:r>
              <w:lastRenderedPageBreak/>
              <w:t xml:space="preserve">block system outflows, among other negative system impacts. </w:t>
            </w:r>
          </w:p>
        </w:tc>
      </w:tr>
      <w:tr w:rsidR="005F686C" w14:paraId="0C98126C" w14:textId="77777777" w:rsidTr="00762D70">
        <w:tc>
          <w:tcPr>
            <w:tcW w:w="2160" w:type="dxa"/>
            <w:vMerge/>
          </w:tcPr>
          <w:p w14:paraId="774FAAE8" w14:textId="77777777" w:rsidR="005F686C" w:rsidRDefault="005F686C" w:rsidP="005F686C"/>
        </w:tc>
        <w:tc>
          <w:tcPr>
            <w:tcW w:w="2880" w:type="dxa"/>
          </w:tcPr>
          <w:p w14:paraId="5B9AC88D" w14:textId="77777777" w:rsidR="005F686C" w:rsidRDefault="005F686C" w:rsidP="005F686C">
            <w:r w:rsidRPr="00BA3ED5">
              <w:t>Extreme Heat</w:t>
            </w:r>
          </w:p>
          <w:p w14:paraId="6C00ACAC" w14:textId="77777777" w:rsidR="005F686C" w:rsidRDefault="005F686C" w:rsidP="005F686C"/>
          <w:p w14:paraId="562D4DD3" w14:textId="77777777" w:rsidR="005F686C" w:rsidRDefault="005F686C" w:rsidP="005F686C"/>
          <w:p w14:paraId="7A735C65" w14:textId="77777777" w:rsidR="0086151F" w:rsidRDefault="0086151F" w:rsidP="005F686C">
            <w:pPr>
              <w:rPr>
                <w:i/>
                <w:iCs/>
                <w:sz w:val="18"/>
                <w:szCs w:val="18"/>
              </w:rPr>
            </w:pPr>
          </w:p>
          <w:p w14:paraId="465C8A61" w14:textId="51B72781" w:rsidR="005F686C" w:rsidRDefault="005F686C" w:rsidP="005F686C">
            <w:r w:rsidRPr="00B83BB4">
              <w:rPr>
                <w:i/>
                <w:iCs/>
                <w:sz w:val="18"/>
                <w:szCs w:val="18"/>
              </w:rPr>
              <w:t>(N</w:t>
            </w:r>
            <w:r>
              <w:rPr>
                <w:i/>
                <w:iCs/>
                <w:sz w:val="18"/>
                <w:szCs w:val="18"/>
              </w:rPr>
              <w:t>PDES</w:t>
            </w:r>
            <w:r w:rsidRPr="00B83BB4">
              <w:rPr>
                <w:i/>
                <w:iCs/>
                <w:sz w:val="18"/>
                <w:szCs w:val="18"/>
              </w:rPr>
              <w:t>, W</w:t>
            </w:r>
            <w:r>
              <w:rPr>
                <w:i/>
                <w:iCs/>
                <w:sz w:val="18"/>
                <w:szCs w:val="18"/>
              </w:rPr>
              <w:t>DR</w:t>
            </w:r>
            <w:r w:rsidRPr="00B83BB4">
              <w:rPr>
                <w:i/>
                <w:iCs/>
                <w:sz w:val="18"/>
                <w:szCs w:val="18"/>
              </w:rPr>
              <w:t>, S</w:t>
            </w:r>
            <w:r>
              <w:rPr>
                <w:i/>
                <w:iCs/>
                <w:sz w:val="18"/>
                <w:szCs w:val="18"/>
              </w:rPr>
              <w:t>SO</w:t>
            </w:r>
            <w:r w:rsidRPr="00B83BB4">
              <w:rPr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5760" w:type="dxa"/>
          </w:tcPr>
          <w:p w14:paraId="67358E11" w14:textId="18B41D5D" w:rsidR="005F686C" w:rsidRDefault="005F686C" w:rsidP="005F686C">
            <w:r w:rsidRPr="007E2E6F">
              <w:t>Identifies regions with frequent</w:t>
            </w:r>
            <w:r>
              <w:t xml:space="preserve"> extreme heat </w:t>
            </w:r>
            <w:r w:rsidRPr="007E2E6F">
              <w:t>days</w:t>
            </w:r>
            <w:r>
              <w:t xml:space="preserve">. </w:t>
            </w:r>
            <w:r w:rsidRPr="007E2E6F">
              <w:t xml:space="preserve">Extreme heat events can impact </w:t>
            </w:r>
            <w:r>
              <w:t>W</w:t>
            </w:r>
            <w:r w:rsidRPr="007E2E6F">
              <w:t xml:space="preserve">astewater </w:t>
            </w:r>
            <w:r>
              <w:t>S</w:t>
            </w:r>
            <w:r w:rsidRPr="007E2E6F">
              <w:t>ystems</w:t>
            </w:r>
            <w:r>
              <w:t xml:space="preserve"> and Facilities’ </w:t>
            </w:r>
            <w:r w:rsidRPr="007E2E6F">
              <w:t>ability to effectively and efficiently remove contaminants</w:t>
            </w:r>
            <w:r>
              <w:t>.</w:t>
            </w:r>
          </w:p>
        </w:tc>
      </w:tr>
      <w:tr w:rsidR="005F686C" w14:paraId="1A7C0DBF" w14:textId="77777777" w:rsidTr="00762D70">
        <w:tc>
          <w:tcPr>
            <w:tcW w:w="2160" w:type="dxa"/>
            <w:vMerge/>
          </w:tcPr>
          <w:p w14:paraId="2F2A354B" w14:textId="77777777" w:rsidR="005F686C" w:rsidRDefault="005F686C" w:rsidP="005F686C"/>
        </w:tc>
        <w:tc>
          <w:tcPr>
            <w:tcW w:w="2880" w:type="dxa"/>
          </w:tcPr>
          <w:p w14:paraId="6663E4C5" w14:textId="77777777" w:rsidR="005F686C" w:rsidRDefault="005F686C" w:rsidP="005F686C">
            <w:r w:rsidRPr="00BA3ED5">
              <w:t>Wildfire</w:t>
            </w:r>
          </w:p>
          <w:p w14:paraId="078A3E59" w14:textId="77777777" w:rsidR="005F686C" w:rsidRDefault="005F686C" w:rsidP="005F686C"/>
          <w:p w14:paraId="0E700810" w14:textId="77777777" w:rsidR="005F686C" w:rsidRDefault="005F686C" w:rsidP="005F686C"/>
          <w:p w14:paraId="014B59BD" w14:textId="11C644F2" w:rsidR="005F686C" w:rsidRDefault="005F686C" w:rsidP="005F686C">
            <w:r w:rsidRPr="00B83BB4">
              <w:rPr>
                <w:i/>
                <w:iCs/>
                <w:sz w:val="18"/>
                <w:szCs w:val="18"/>
              </w:rPr>
              <w:t>(N</w:t>
            </w:r>
            <w:r>
              <w:rPr>
                <w:i/>
                <w:iCs/>
                <w:sz w:val="18"/>
                <w:szCs w:val="18"/>
              </w:rPr>
              <w:t>PDES</w:t>
            </w:r>
            <w:r w:rsidRPr="00B83BB4">
              <w:rPr>
                <w:i/>
                <w:iCs/>
                <w:sz w:val="18"/>
                <w:szCs w:val="18"/>
              </w:rPr>
              <w:t>, W</w:t>
            </w:r>
            <w:r>
              <w:rPr>
                <w:i/>
                <w:iCs/>
                <w:sz w:val="18"/>
                <w:szCs w:val="18"/>
              </w:rPr>
              <w:t>DR</w:t>
            </w:r>
            <w:r w:rsidRPr="00B83BB4">
              <w:rPr>
                <w:i/>
                <w:iCs/>
                <w:sz w:val="18"/>
                <w:szCs w:val="18"/>
              </w:rPr>
              <w:t>, S</w:t>
            </w:r>
            <w:r>
              <w:rPr>
                <w:i/>
                <w:iCs/>
                <w:sz w:val="18"/>
                <w:szCs w:val="18"/>
              </w:rPr>
              <w:t>SO</w:t>
            </w:r>
            <w:r w:rsidRPr="00B83BB4">
              <w:rPr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5760" w:type="dxa"/>
          </w:tcPr>
          <w:p w14:paraId="42BE52D2" w14:textId="05CFE747" w:rsidR="005F686C" w:rsidRDefault="005F686C" w:rsidP="005F686C">
            <w:r w:rsidRPr="007E2E6F">
              <w:t>Measures the fire hazard severity of a</w:t>
            </w:r>
            <w:r>
              <w:t>n area where a Wastewater System and Facility is located</w:t>
            </w:r>
            <w:r w:rsidRPr="007E2E6F">
              <w:t>.</w:t>
            </w:r>
            <w:r>
              <w:t xml:space="preserve"> Wildfires can damage wastewater infrastructure and change flow levels.</w:t>
            </w:r>
          </w:p>
        </w:tc>
      </w:tr>
      <w:tr w:rsidR="005F686C" w14:paraId="21079BCE" w14:textId="77777777" w:rsidTr="00762D70">
        <w:tc>
          <w:tcPr>
            <w:tcW w:w="2160" w:type="dxa"/>
            <w:shd w:val="clear" w:color="auto" w:fill="D9C6FF"/>
          </w:tcPr>
          <w:p w14:paraId="0D65DC88" w14:textId="79F2BBA5" w:rsidR="005F686C" w:rsidRDefault="005F686C" w:rsidP="005F686C">
            <w:r>
              <w:t xml:space="preserve">Public Health </w:t>
            </w:r>
          </w:p>
        </w:tc>
        <w:tc>
          <w:tcPr>
            <w:tcW w:w="2880" w:type="dxa"/>
          </w:tcPr>
          <w:p w14:paraId="0432E58C" w14:textId="77777777" w:rsidR="005F686C" w:rsidRDefault="005F686C" w:rsidP="005F686C">
            <w:r w:rsidRPr="00643864">
              <w:t>Constituents of Emerging Concern</w:t>
            </w:r>
            <w:r>
              <w:t xml:space="preserve"> (CEC)</w:t>
            </w:r>
          </w:p>
          <w:p w14:paraId="3127ECCB" w14:textId="77777777" w:rsidR="005F686C" w:rsidRDefault="005F686C" w:rsidP="005F686C"/>
          <w:p w14:paraId="0A3DB9B9" w14:textId="77777777" w:rsidR="005F686C" w:rsidRDefault="005F686C" w:rsidP="005F686C"/>
          <w:p w14:paraId="17CA029C" w14:textId="2E4574F6" w:rsidR="005F686C" w:rsidRPr="00B5486B" w:rsidRDefault="005F686C" w:rsidP="005F686C">
            <w:pPr>
              <w:rPr>
                <w:i/>
                <w:iCs/>
                <w:sz w:val="18"/>
                <w:szCs w:val="18"/>
              </w:rPr>
            </w:pPr>
            <w:r w:rsidRPr="00B5486B">
              <w:rPr>
                <w:i/>
                <w:iCs/>
                <w:sz w:val="18"/>
                <w:szCs w:val="18"/>
              </w:rPr>
              <w:t>(N</w:t>
            </w:r>
            <w:r>
              <w:rPr>
                <w:i/>
                <w:iCs/>
                <w:sz w:val="18"/>
                <w:szCs w:val="18"/>
              </w:rPr>
              <w:t>PDES, WDR, SSO</w:t>
            </w:r>
            <w:r w:rsidRPr="00B5486B">
              <w:rPr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5760" w:type="dxa"/>
          </w:tcPr>
          <w:p w14:paraId="3BD2CCCD" w14:textId="0E41E1D8" w:rsidR="005F686C" w:rsidRPr="00B4363C" w:rsidRDefault="005F686C" w:rsidP="005F686C">
            <w:pPr>
              <w:rPr>
                <w:color w:val="333333"/>
              </w:rPr>
            </w:pPr>
            <w:r w:rsidRPr="00B4363C">
              <w:rPr>
                <w:color w:val="000000" w:themeColor="text1"/>
              </w:rPr>
              <w:t>Substances or matter in aquatic ecosystems</w:t>
            </w:r>
            <w:r w:rsidRPr="00B4363C">
              <w:rPr>
                <w:color w:val="000000" w:themeColor="text1"/>
                <w:shd w:val="clear" w:color="auto" w:fill="FFFFFF"/>
              </w:rPr>
              <w:t xml:space="preserve"> for which there are not currently published enforceable health standards, the standard is being evaluated, or the toxicology is not well understood.</w:t>
            </w:r>
          </w:p>
        </w:tc>
      </w:tr>
    </w:tbl>
    <w:p w14:paraId="67DA59C3" w14:textId="77777777" w:rsidR="00BE496F" w:rsidRDefault="00BE496F" w:rsidP="00EC6754">
      <w:pPr>
        <w:rPr>
          <w:b/>
          <w:bCs/>
        </w:rPr>
      </w:pPr>
    </w:p>
    <w:p w14:paraId="709EAA90" w14:textId="2B9AAC8D" w:rsidR="00EC6754" w:rsidRPr="00EC6754" w:rsidRDefault="00EC6754" w:rsidP="00EC6754">
      <w:pPr>
        <w:rPr>
          <w:b/>
          <w:bCs/>
        </w:rPr>
      </w:pPr>
      <w:r>
        <w:rPr>
          <w:b/>
          <w:bCs/>
        </w:rPr>
        <w:t xml:space="preserve">Table 1 Legend: </w:t>
      </w:r>
    </w:p>
    <w:p w14:paraId="28567808" w14:textId="448B3476" w:rsidR="00EC6754" w:rsidRDefault="00EC6754" w:rsidP="00EC6754">
      <w:r>
        <w:t>N</w:t>
      </w:r>
      <w:r w:rsidR="00C22496">
        <w:t xml:space="preserve">PDES </w:t>
      </w:r>
      <w:r>
        <w:t xml:space="preserve">= Risk variable relevant for </w:t>
      </w:r>
      <w:r w:rsidR="00C22496">
        <w:t>NPDES-permitted facilities</w:t>
      </w:r>
    </w:p>
    <w:p w14:paraId="6093653B" w14:textId="2C988594" w:rsidR="00EC6754" w:rsidRDefault="00EC6754" w:rsidP="00EC6754">
      <w:r>
        <w:t>S</w:t>
      </w:r>
      <w:r w:rsidR="00C22496">
        <w:t xml:space="preserve">SO </w:t>
      </w:r>
      <w:r>
        <w:t>= Risk variable relevant for SSO</w:t>
      </w:r>
      <w:r w:rsidR="00C22496">
        <w:t>-permitted facilities</w:t>
      </w:r>
      <w:r>
        <w:t xml:space="preserve"> </w:t>
      </w:r>
    </w:p>
    <w:p w14:paraId="21FF6696" w14:textId="6A8625BF" w:rsidR="00EC6754" w:rsidRDefault="00EC6754" w:rsidP="00EC6754">
      <w:r>
        <w:t>W</w:t>
      </w:r>
      <w:r w:rsidR="00C22496">
        <w:t xml:space="preserve">DR </w:t>
      </w:r>
      <w:r>
        <w:t>= Risk variable relevant for WDR</w:t>
      </w:r>
      <w:r w:rsidR="00C22496">
        <w:t>-permitted facilities</w:t>
      </w:r>
    </w:p>
    <w:p w14:paraId="25ACE1EB" w14:textId="5E0F4170" w:rsidR="00EC6754" w:rsidRDefault="00EC6754" w:rsidP="00EC6754"/>
    <w:p w14:paraId="28907670" w14:textId="77777777" w:rsidR="00EC6754" w:rsidRDefault="00EC6754" w:rsidP="00EC6754"/>
    <w:p w14:paraId="657D9B49" w14:textId="77777777" w:rsidR="00EC6754" w:rsidRDefault="00EC6754" w:rsidP="00EC6754"/>
    <w:p w14:paraId="7F08FBCF" w14:textId="77777777" w:rsidR="00EC6754" w:rsidRPr="00A9494B" w:rsidRDefault="00EC6754" w:rsidP="00A9494B"/>
    <w:sectPr w:rsidR="00EC6754" w:rsidRPr="00A9494B" w:rsidSect="000D558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0FF52A" w14:textId="77777777" w:rsidR="00FE071D" w:rsidRDefault="00FE071D" w:rsidP="008B178D">
      <w:pPr>
        <w:spacing w:after="0" w:line="240" w:lineRule="auto"/>
      </w:pPr>
      <w:r>
        <w:separator/>
      </w:r>
    </w:p>
  </w:endnote>
  <w:endnote w:type="continuationSeparator" w:id="0">
    <w:p w14:paraId="70D3DD41" w14:textId="77777777" w:rsidR="00FE071D" w:rsidRDefault="00FE071D" w:rsidP="008B17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C07742" w14:textId="77777777" w:rsidR="002A0AC5" w:rsidRDefault="002A0A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32C78E" w14:textId="77777777" w:rsidR="002A0AC5" w:rsidRDefault="002A0AC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8F9D31" w14:textId="77777777" w:rsidR="002A0AC5" w:rsidRDefault="002A0A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79BF66" w14:textId="77777777" w:rsidR="00FE071D" w:rsidRDefault="00FE071D" w:rsidP="008B178D">
      <w:pPr>
        <w:spacing w:after="0" w:line="240" w:lineRule="auto"/>
      </w:pPr>
      <w:r>
        <w:separator/>
      </w:r>
    </w:p>
  </w:footnote>
  <w:footnote w:type="continuationSeparator" w:id="0">
    <w:p w14:paraId="6EBB482F" w14:textId="77777777" w:rsidR="00FE071D" w:rsidRDefault="00FE071D" w:rsidP="008B178D">
      <w:pPr>
        <w:spacing w:after="0" w:line="240" w:lineRule="auto"/>
      </w:pPr>
      <w:r>
        <w:continuationSeparator/>
      </w:r>
    </w:p>
  </w:footnote>
  <w:footnote w:id="1">
    <w:p w14:paraId="48A79F6E" w14:textId="6B2EA89B" w:rsidR="008B178D" w:rsidRDefault="008B178D">
      <w:pPr>
        <w:pStyle w:val="FootnoteText"/>
      </w:pPr>
      <w:r>
        <w:rPr>
          <w:rStyle w:val="FootnoteReference"/>
        </w:rPr>
        <w:footnoteRef/>
      </w:r>
      <w:r>
        <w:t>System types included in the WWNA: Public treatment plants – cities and special districts; Private treatment plants serving rural residential settlements, mobile home parks, etc.; Migrant labor camps; RV Parks; Hotels; Prisons and Work/Conservation Camps; Schools and Hospitals.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E23649" w14:textId="77777777" w:rsidR="002A0AC5" w:rsidRDefault="002A0A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156D7F" w14:textId="4D6658BF" w:rsidR="002A0AC5" w:rsidRDefault="002A0AC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66CEFB" w14:textId="77777777" w:rsidR="002A0AC5" w:rsidRDefault="002A0A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56736E"/>
    <w:multiLevelType w:val="hybridMultilevel"/>
    <w:tmpl w:val="96E2CA2A"/>
    <w:lvl w:ilvl="0" w:tplc="A1E2EEB0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5978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5C3"/>
    <w:rsid w:val="00014829"/>
    <w:rsid w:val="00015D3D"/>
    <w:rsid w:val="00041374"/>
    <w:rsid w:val="000D404D"/>
    <w:rsid w:val="000D5586"/>
    <w:rsid w:val="000F19B0"/>
    <w:rsid w:val="000F4090"/>
    <w:rsid w:val="001032DE"/>
    <w:rsid w:val="001244B2"/>
    <w:rsid w:val="0014671A"/>
    <w:rsid w:val="001534D6"/>
    <w:rsid w:val="001678D6"/>
    <w:rsid w:val="00175B3A"/>
    <w:rsid w:val="00183AEF"/>
    <w:rsid w:val="001868CB"/>
    <w:rsid w:val="001A0C55"/>
    <w:rsid w:val="001A1100"/>
    <w:rsid w:val="00200C59"/>
    <w:rsid w:val="00294A01"/>
    <w:rsid w:val="002A0AC5"/>
    <w:rsid w:val="002A2D24"/>
    <w:rsid w:val="002B375C"/>
    <w:rsid w:val="002B73D1"/>
    <w:rsid w:val="002F363D"/>
    <w:rsid w:val="00313853"/>
    <w:rsid w:val="00327E2C"/>
    <w:rsid w:val="003318DD"/>
    <w:rsid w:val="003349DA"/>
    <w:rsid w:val="00334E32"/>
    <w:rsid w:val="00336B42"/>
    <w:rsid w:val="00350503"/>
    <w:rsid w:val="00363776"/>
    <w:rsid w:val="0036782C"/>
    <w:rsid w:val="003C1351"/>
    <w:rsid w:val="00442FF2"/>
    <w:rsid w:val="00466BD2"/>
    <w:rsid w:val="004738F6"/>
    <w:rsid w:val="004771AE"/>
    <w:rsid w:val="004A7BDC"/>
    <w:rsid w:val="004B0E57"/>
    <w:rsid w:val="004D08FE"/>
    <w:rsid w:val="0050563B"/>
    <w:rsid w:val="00522E04"/>
    <w:rsid w:val="00531BDC"/>
    <w:rsid w:val="005456C9"/>
    <w:rsid w:val="0058414F"/>
    <w:rsid w:val="005A047C"/>
    <w:rsid w:val="005C1072"/>
    <w:rsid w:val="005E03E1"/>
    <w:rsid w:val="005F686C"/>
    <w:rsid w:val="00622498"/>
    <w:rsid w:val="00643864"/>
    <w:rsid w:val="00647329"/>
    <w:rsid w:val="006806A1"/>
    <w:rsid w:val="00680DB9"/>
    <w:rsid w:val="006C1000"/>
    <w:rsid w:val="006C1058"/>
    <w:rsid w:val="006C5C4B"/>
    <w:rsid w:val="006E7C3B"/>
    <w:rsid w:val="00715D3F"/>
    <w:rsid w:val="007628A7"/>
    <w:rsid w:val="00762D70"/>
    <w:rsid w:val="00765DED"/>
    <w:rsid w:val="007E2E6F"/>
    <w:rsid w:val="007E4BAC"/>
    <w:rsid w:val="007F5459"/>
    <w:rsid w:val="00812703"/>
    <w:rsid w:val="00826E8D"/>
    <w:rsid w:val="00842670"/>
    <w:rsid w:val="00842F37"/>
    <w:rsid w:val="0086151F"/>
    <w:rsid w:val="00861573"/>
    <w:rsid w:val="00865EBC"/>
    <w:rsid w:val="00870C16"/>
    <w:rsid w:val="00870D6F"/>
    <w:rsid w:val="0087350F"/>
    <w:rsid w:val="00895962"/>
    <w:rsid w:val="008B178D"/>
    <w:rsid w:val="008B60FF"/>
    <w:rsid w:val="008F3EB4"/>
    <w:rsid w:val="008F60F3"/>
    <w:rsid w:val="00902A39"/>
    <w:rsid w:val="009075D4"/>
    <w:rsid w:val="009133ED"/>
    <w:rsid w:val="00944383"/>
    <w:rsid w:val="00963BC4"/>
    <w:rsid w:val="009B0CAC"/>
    <w:rsid w:val="009E3AEB"/>
    <w:rsid w:val="00A15886"/>
    <w:rsid w:val="00A15953"/>
    <w:rsid w:val="00A465DD"/>
    <w:rsid w:val="00A5730B"/>
    <w:rsid w:val="00A625DD"/>
    <w:rsid w:val="00A74584"/>
    <w:rsid w:val="00A75059"/>
    <w:rsid w:val="00A9494B"/>
    <w:rsid w:val="00AD4504"/>
    <w:rsid w:val="00AF3FC0"/>
    <w:rsid w:val="00B423FC"/>
    <w:rsid w:val="00B4363C"/>
    <w:rsid w:val="00B465C2"/>
    <w:rsid w:val="00B5486B"/>
    <w:rsid w:val="00B83BB4"/>
    <w:rsid w:val="00BA3ED5"/>
    <w:rsid w:val="00BE496F"/>
    <w:rsid w:val="00C1548E"/>
    <w:rsid w:val="00C21EE0"/>
    <w:rsid w:val="00C22496"/>
    <w:rsid w:val="00C44C3A"/>
    <w:rsid w:val="00C7393D"/>
    <w:rsid w:val="00CA5AA4"/>
    <w:rsid w:val="00CA68F2"/>
    <w:rsid w:val="00CF4D1B"/>
    <w:rsid w:val="00D119BA"/>
    <w:rsid w:val="00D22ECC"/>
    <w:rsid w:val="00D33024"/>
    <w:rsid w:val="00D60A9F"/>
    <w:rsid w:val="00D726C8"/>
    <w:rsid w:val="00D7536C"/>
    <w:rsid w:val="00D84557"/>
    <w:rsid w:val="00DC5A98"/>
    <w:rsid w:val="00DF766E"/>
    <w:rsid w:val="00E1287F"/>
    <w:rsid w:val="00E14BCC"/>
    <w:rsid w:val="00E22554"/>
    <w:rsid w:val="00E525C3"/>
    <w:rsid w:val="00E760E4"/>
    <w:rsid w:val="00E82E64"/>
    <w:rsid w:val="00E93D5D"/>
    <w:rsid w:val="00E94D4E"/>
    <w:rsid w:val="00EB573C"/>
    <w:rsid w:val="00EC6754"/>
    <w:rsid w:val="00F12CEE"/>
    <w:rsid w:val="00F17FF4"/>
    <w:rsid w:val="00F82E96"/>
    <w:rsid w:val="00F96E14"/>
    <w:rsid w:val="00FB3B96"/>
    <w:rsid w:val="00FE071D"/>
    <w:rsid w:val="2E43A255"/>
    <w:rsid w:val="3A905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7A52EF"/>
  <w15:chartTrackingRefBased/>
  <w15:docId w15:val="{D1E14694-982B-4DBD-AD5C-D1FC142DE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7329"/>
  </w:style>
  <w:style w:type="paragraph" w:styleId="Heading1">
    <w:name w:val="heading 1"/>
    <w:basedOn w:val="Normal"/>
    <w:next w:val="Normal"/>
    <w:link w:val="Heading1Char"/>
    <w:uiPriority w:val="9"/>
    <w:qFormat/>
    <w:rsid w:val="00E525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25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25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25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25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25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25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25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25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25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25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25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25C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25C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25C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25C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25C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25C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525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525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25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525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525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525C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525C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525C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25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25C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525C3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902A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02A3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02A3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2A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2A39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8735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64386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B573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573C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B178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B178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B178D"/>
    <w:rPr>
      <w:vertAlign w:val="superscript"/>
    </w:rPr>
  </w:style>
  <w:style w:type="character" w:styleId="EndnoteReference">
    <w:name w:val="endnote reference"/>
    <w:basedOn w:val="DefaultParagraphFont"/>
    <w:uiPriority w:val="99"/>
    <w:semiHidden/>
    <w:unhideWhenUsed/>
    <w:rsid w:val="008B178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A0A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0AC5"/>
  </w:style>
  <w:style w:type="paragraph" w:styleId="Footer">
    <w:name w:val="footer"/>
    <w:basedOn w:val="Normal"/>
    <w:link w:val="FooterChar"/>
    <w:uiPriority w:val="99"/>
    <w:unhideWhenUsed/>
    <w:rsid w:val="002A0A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0A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23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17AFB7-7D94-430B-BA2E-28DF6EE08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1280</Words>
  <Characters>7297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Harrison, Grace</dc:creator>
  <cp:keywords/>
  <dc:description/>
  <cp:lastModifiedBy>Harrison, Grace</cp:lastModifiedBy>
  <cp:revision>13</cp:revision>
  <dcterms:created xsi:type="dcterms:W3CDTF">2025-01-08T22:37:00Z</dcterms:created>
  <dcterms:modified xsi:type="dcterms:W3CDTF">2025-01-23T21:11:00Z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9e0e9ecb2c83d360e07bc70e32c695d757a7fde2a0b101dabb9673791620f871</vt:lpwstr>
  </property>
</Properties>
</file>