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824E" w14:textId="4DDB6695" w:rsidR="002A2D24" w:rsidRPr="00902A39" w:rsidRDefault="00FD09BA" w:rsidP="00902A39">
      <w:pPr>
        <w:pStyle w:val="Title"/>
        <w:rPr>
          <w:sz w:val="36"/>
          <w:szCs w:val="36"/>
        </w:rPr>
      </w:pPr>
      <w:r w:rsidRPr="00FD09BA">
        <w:rPr>
          <w:sz w:val="36"/>
          <w:szCs w:val="36"/>
        </w:rPr>
        <w:t xml:space="preserve">Desarrollo de una Evaluación de </w:t>
      </w:r>
      <w:r>
        <w:rPr>
          <w:sz w:val="36"/>
          <w:szCs w:val="36"/>
        </w:rPr>
        <w:t>Riesgos</w:t>
      </w:r>
      <w:r w:rsidRPr="00FD09BA">
        <w:rPr>
          <w:sz w:val="36"/>
          <w:szCs w:val="36"/>
        </w:rPr>
        <w:t xml:space="preserve"> a Nivel Estatal para los Sistemas de Aguas Residuales de California</w:t>
      </w:r>
    </w:p>
    <w:p w14:paraId="7973BFAE" w14:textId="191610AF" w:rsidR="00A9494B" w:rsidRDefault="00FD09BA">
      <w:r w:rsidRPr="00FD09BA">
        <w:t xml:space="preserve">RESUMEN EJECUTIVO </w:t>
      </w:r>
    </w:p>
    <w:p w14:paraId="459556E6" w14:textId="77777777" w:rsidR="00902A39" w:rsidRDefault="00902A39"/>
    <w:p w14:paraId="15854247" w14:textId="77777777" w:rsidR="00842670" w:rsidRDefault="00842670">
      <w:pPr>
        <w:rPr>
          <w:u w:val="single"/>
        </w:rPr>
      </w:pPr>
      <w:r>
        <w:rPr>
          <w:u w:val="single"/>
        </w:rPr>
        <w:br w:type="page"/>
      </w:r>
    </w:p>
    <w:p w14:paraId="6DA7B3BF" w14:textId="2D027AB6" w:rsidR="00A9494B" w:rsidRDefault="00FD09BA" w:rsidP="00902A39">
      <w:pPr>
        <w:pStyle w:val="Title"/>
        <w:rPr>
          <w:b/>
          <w:bCs/>
          <w:sz w:val="36"/>
          <w:szCs w:val="36"/>
        </w:rPr>
      </w:pPr>
      <w:r w:rsidRPr="00FD09BA">
        <w:rPr>
          <w:b/>
          <w:bCs/>
          <w:sz w:val="36"/>
          <w:szCs w:val="36"/>
        </w:rPr>
        <w:lastRenderedPageBreak/>
        <w:t>RESUMEN EJECUTIVO</w:t>
      </w:r>
    </w:p>
    <w:p w14:paraId="5182B530" w14:textId="0C3D6566" w:rsidR="00902A39" w:rsidRPr="00FD09BA" w:rsidRDefault="00FD09BA" w:rsidP="00902A39">
      <w:r w:rsidRPr="00FD09BA">
        <w:t xml:space="preserve">La evaluación de riesgos es el segundo paso cuantitativo de la evaluación más amplia de las necesidades de aguas residuales </w:t>
      </w:r>
      <w:r w:rsidR="2E43A255">
        <w:t xml:space="preserve">(WWNA). </w:t>
      </w:r>
      <w:bookmarkStart w:id="0" w:name="_Hlk184395881"/>
      <w:r w:rsidRPr="00FD09BA">
        <w:t xml:space="preserve">La evaluación incluye sistemas con </w:t>
      </w:r>
      <w:r>
        <w:t xml:space="preserve">permisos de </w:t>
      </w:r>
      <w:r w:rsidR="2E43A255">
        <w:t>N</w:t>
      </w:r>
      <w:r w:rsidR="008B178D">
        <w:t xml:space="preserve">ational </w:t>
      </w:r>
      <w:r w:rsidR="2E43A255">
        <w:t>P</w:t>
      </w:r>
      <w:r w:rsidR="008B178D">
        <w:t xml:space="preserve">ollutant </w:t>
      </w:r>
      <w:r w:rsidR="2E43A255">
        <w:t>D</w:t>
      </w:r>
      <w:r w:rsidR="008B178D">
        <w:t xml:space="preserve">ischarge </w:t>
      </w:r>
      <w:r w:rsidR="2E43A255">
        <w:t>E</w:t>
      </w:r>
      <w:r w:rsidR="008B178D">
        <w:t xml:space="preserve">limination </w:t>
      </w:r>
      <w:r w:rsidR="2E43A255">
        <w:t>S</w:t>
      </w:r>
      <w:r w:rsidR="008B178D">
        <w:t>ystem (NPDES)</w:t>
      </w:r>
      <w:r w:rsidR="2E43A255">
        <w:t>, W</w:t>
      </w:r>
      <w:r w:rsidR="008B178D">
        <w:t xml:space="preserve">aste </w:t>
      </w:r>
      <w:r w:rsidR="2E43A255">
        <w:t>D</w:t>
      </w:r>
      <w:r w:rsidR="008B178D">
        <w:t xml:space="preserve">ischarge </w:t>
      </w:r>
      <w:r w:rsidR="2E43A255">
        <w:t>R</w:t>
      </w:r>
      <w:r w:rsidR="008B178D">
        <w:t>equirement (WDR)</w:t>
      </w:r>
      <w:r w:rsidR="2E43A255">
        <w:t xml:space="preserve">, </w:t>
      </w:r>
      <w:r>
        <w:t>y</w:t>
      </w:r>
      <w:r w:rsidR="2E43A255">
        <w:t xml:space="preserve"> S</w:t>
      </w:r>
      <w:r w:rsidR="008B178D">
        <w:t xml:space="preserve">anitation </w:t>
      </w:r>
      <w:r w:rsidR="2E43A255">
        <w:t>S</w:t>
      </w:r>
      <w:r w:rsidR="008B178D">
        <w:t xml:space="preserve">ewer </w:t>
      </w:r>
      <w:r w:rsidR="2E43A255">
        <w:t>O</w:t>
      </w:r>
      <w:r w:rsidR="008B178D">
        <w:t>verflow (SSO)</w:t>
      </w:r>
      <w:r w:rsidR="2E43A255">
        <w:t xml:space="preserve"> </w:t>
      </w:r>
      <w:r w:rsidRPr="00FD09BA">
        <w:t>que cumplan con los criterios</w:t>
      </w:r>
      <w:r w:rsidRPr="00FD09BA">
        <w:rPr>
          <w:vertAlign w:val="superscript"/>
        </w:rPr>
        <w:t xml:space="preserve"> </w:t>
      </w:r>
      <w:r w:rsidR="008B178D">
        <w:rPr>
          <w:rStyle w:val="FootnoteReference"/>
        </w:rPr>
        <w:footnoteReference w:id="1"/>
      </w:r>
      <w:bookmarkEnd w:id="0"/>
      <w:r>
        <w:rPr>
          <w:vertAlign w:val="superscript"/>
        </w:rPr>
        <w:t xml:space="preserve"> </w:t>
      </w:r>
      <w:r w:rsidRPr="00937BEA">
        <w:t>de inclusión para la WWNA</w:t>
      </w:r>
      <w:r>
        <w:t>.</w:t>
      </w:r>
    </w:p>
    <w:p w14:paraId="54A7B0EC" w14:textId="0514C662" w:rsidR="00A9494B" w:rsidRPr="001032DE" w:rsidRDefault="00B11B67" w:rsidP="006473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kern w:val="0"/>
        </w:rPr>
      </w:pPr>
      <w:r w:rsidRPr="00B11B67">
        <w:t>El propósito de la Evaluación de Riesgos es identificar los sistemas de tratamiento y recolección de aguas residuales “en riesgo” de no tratar y eliminar adecuadamente las aguas residuales.</w:t>
      </w:r>
      <w:r w:rsidR="3A9052B0" w:rsidRPr="001032DE">
        <w:t xml:space="preserve"> </w:t>
      </w:r>
      <w:r w:rsidRPr="00B11B67">
        <w:t xml:space="preserve">La identificación de sistemas de aguas residuales en riesgo idealmente permitirá que la </w:t>
      </w:r>
      <w:r w:rsidR="007D4A5F" w:rsidRPr="007D4A5F">
        <w:t xml:space="preserve">Junta Estatal de Control de Recursos del Agua y las Juntas Regionales de Control de Calidad del Agua (las Juntas del Agua) </w:t>
      </w:r>
      <w:r w:rsidRPr="00B11B67">
        <w:t>dirijan de manera proactiva la asistencia técnica y la financiación a las comunidades para evitar que los sistemas se vuelvan inadecuados.</w:t>
      </w:r>
      <w:r>
        <w:t xml:space="preserve"> </w:t>
      </w:r>
      <w:r w:rsidR="007D4A5F" w:rsidRPr="007D4A5F">
        <w:rPr>
          <w:rFonts w:cs="Helvetica Neue"/>
          <w:color w:val="000000"/>
          <w:kern w:val="0"/>
        </w:rPr>
        <w:t xml:space="preserve">Estas evaluaciones son cruciales para que las Juntas Regionales implementen la SB 1215 (proyectos </w:t>
      </w:r>
      <w:r w:rsidR="007D4A5F">
        <w:rPr>
          <w:rFonts w:cs="Helvetica Neue"/>
          <w:color w:val="000000"/>
          <w:kern w:val="0"/>
        </w:rPr>
        <w:t xml:space="preserve">de </w:t>
      </w:r>
      <w:r w:rsidR="007D4A5F" w:rsidRPr="007D4A5F">
        <w:rPr>
          <w:rFonts w:cs="Helvetica Neue"/>
          <w:color w:val="000000"/>
          <w:kern w:val="0"/>
        </w:rPr>
        <w:t xml:space="preserve">séptico </w:t>
      </w:r>
      <w:r w:rsidR="007D4A5F">
        <w:rPr>
          <w:rFonts w:cs="Helvetica Neue"/>
          <w:color w:val="000000"/>
          <w:kern w:val="0"/>
        </w:rPr>
        <w:t>a</w:t>
      </w:r>
      <w:r w:rsidR="007D4A5F" w:rsidRPr="007D4A5F">
        <w:rPr>
          <w:rFonts w:cs="Helvetica Neue"/>
          <w:color w:val="000000"/>
          <w:kern w:val="0"/>
        </w:rPr>
        <w:t xml:space="preserve"> alcantarillado) y evalúen el estado de los sistemas e instalaciones de aguas residuales en municipios, distritos y ciudades</w:t>
      </w:r>
      <w:r w:rsidR="00647329" w:rsidRPr="001032DE">
        <w:rPr>
          <w:rFonts w:cs="Helvetica Neue"/>
          <w:color w:val="000000"/>
          <w:kern w:val="0"/>
        </w:rPr>
        <w:t xml:space="preserve">. </w:t>
      </w:r>
      <w:r w:rsidR="007D4A5F" w:rsidRPr="007D4A5F">
        <w:rPr>
          <w:rFonts w:cs="Helvetica Neue"/>
          <w:color w:val="000000"/>
          <w:kern w:val="0"/>
        </w:rPr>
        <w:t>El análisis de evaluación de riesgos también beneficiará en gran medida a la Junta Estatal de Aguas, cuando los proyectos de aguas residuales (por ejemplo, mejoras de capital o consolidación de aguas residuales) se presenten a través de la Herramienta de envío de solicitudes de asistencia financiera (FAAST) o el programa de asistencia técnica</w:t>
      </w:r>
      <w:r w:rsidR="00647329" w:rsidRPr="001032DE">
        <w:rPr>
          <w:rFonts w:cs="Helvetica Neue"/>
          <w:color w:val="000000"/>
          <w:kern w:val="0"/>
        </w:rPr>
        <w:t>.</w:t>
      </w:r>
    </w:p>
    <w:p w14:paraId="3AD77746" w14:textId="77777777" w:rsidR="00647329" w:rsidRPr="00647329" w:rsidRDefault="00647329" w:rsidP="006473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47B9E651" w14:textId="584726C9" w:rsidR="00902A39" w:rsidRDefault="007D4A5F" w:rsidP="00A9494B">
      <w:bookmarkStart w:id="1" w:name="_Hlk184395949"/>
      <w:r w:rsidRPr="007D4A5F">
        <w:t>Este Resumen Ejecutivo presenta las variables de riesgo que se propone incluir en la Evaluación de Riesgos y justifica su inclusión.</w:t>
      </w:r>
    </w:p>
    <w:bookmarkEnd w:id="1"/>
    <w:p w14:paraId="0C563B48" w14:textId="7F3FAE08" w:rsidR="00902A39" w:rsidRDefault="007D4A5F" w:rsidP="00A9494B">
      <w:r w:rsidRPr="007D4A5F">
        <w:t>La evaluación de riesgos no evaluará el riesgo de los sistemas de tratamiento de aguas residuales en el sitio (</w:t>
      </w:r>
      <w:r w:rsidR="00943413">
        <w:t xml:space="preserve">Onsite Wastewater Treatment Systems, </w:t>
      </w:r>
      <w:r w:rsidRPr="007D4A5F">
        <w:t>OWTS) ni de los sistemas sin alcantarillado en general.</w:t>
      </w:r>
      <w:r w:rsidR="3A9052B0">
        <w:t xml:space="preserve"> </w:t>
      </w:r>
      <w:r w:rsidR="00943413" w:rsidRPr="00943413">
        <w:t>Sin embargo, se incluirá en la WWNA otra evaluación centrada en áreas atendidas principalmente por OWTS y se discutirá en una futura reunión del Grupo Asesor.</w:t>
      </w:r>
    </w:p>
    <w:p w14:paraId="0F6E5F1E" w14:textId="2B7B9920" w:rsidR="00902A39" w:rsidRPr="008B60FF" w:rsidRDefault="00943413" w:rsidP="00A9494B">
      <w:pPr>
        <w:rPr>
          <w:b/>
          <w:bCs/>
        </w:rPr>
      </w:pPr>
      <w:r w:rsidRPr="00943413">
        <w:rPr>
          <w:b/>
          <w:bCs/>
        </w:rPr>
        <w:t>Métodos</w:t>
      </w:r>
    </w:p>
    <w:p w14:paraId="17B482C7" w14:textId="4805FF21" w:rsidR="008B60FF" w:rsidRDefault="00943413" w:rsidP="00A9494B">
      <w:r w:rsidRPr="00943413">
        <w:t>La evaluación de riesgos se llevará a cabo para aproximadamente 260 sistemas NPDES, 1000 WDR y 1000 SSO incluidos en la WWNA.</w:t>
      </w:r>
      <w:r w:rsidR="3A9052B0">
        <w:t xml:space="preserve"> </w:t>
      </w:r>
      <w:r w:rsidRPr="00943413">
        <w:t>Se evaluará su desempeño en función de los indicadores de riesgo dentro de las siguientes cuatro categorías: socioeconómica, operativa, ambiental y de salud pública.</w:t>
      </w:r>
      <w:r w:rsidR="3A9052B0">
        <w:t xml:space="preserve"> </w:t>
      </w:r>
      <w:r w:rsidRPr="00943413">
        <w:t>Las instalaciones dentro de cada tipo de permiso (NPDES, WDR, SSO) requieren criterios de riesgo ligeramente diferentes para capturar sus diversas características con precisión.</w:t>
      </w:r>
    </w:p>
    <w:p w14:paraId="31852A52" w14:textId="0084AA80" w:rsidR="00BA3ED5" w:rsidRDefault="00943413" w:rsidP="00A9494B">
      <w:r w:rsidRPr="00943413">
        <w:t>Seleccionamos los nombres de categorías y las variables que se incluirán en diferentes categorías de la Evaluación de Riesgos con base en revisiones de literatura publicada previamente, conversaciones con expertos de nuestro equipo de proyecto y consultas con el personal de las Juntas de Agua que trabajan en aspectos de cumplimiento y aplicación de las instalaciones con permisos N</w:t>
      </w:r>
      <w:r>
        <w:t>P</w:t>
      </w:r>
      <w:r w:rsidRPr="00943413">
        <w:t>DES, WDR y SSO.</w:t>
      </w:r>
      <w:r w:rsidR="3A9052B0">
        <w:t xml:space="preserve"> </w:t>
      </w:r>
      <w:r w:rsidR="00586439" w:rsidRPr="00586439">
        <w:t>Nuestro equipo de proyecto evaluó treinta y siete variables de riesgo potenciales para su inclusión: 8 socioeconómicas, 17 operativas, 8 ambientales y 6 de salud pública.</w:t>
      </w:r>
      <w:r w:rsidR="00D7536C">
        <w:t xml:space="preserve">  </w:t>
      </w:r>
      <w:r w:rsidR="00586439" w:rsidRPr="00586439">
        <w:t xml:space="preserve">Proponemos incluir veintitrés en la evaluación de riesgos: </w:t>
      </w:r>
      <w:r w:rsidR="00586439">
        <w:t>5</w:t>
      </w:r>
      <w:r w:rsidR="00586439" w:rsidRPr="00586439">
        <w:t xml:space="preserve"> socioeconómicas, </w:t>
      </w:r>
      <w:r w:rsidR="00586439">
        <w:t>12</w:t>
      </w:r>
      <w:r w:rsidR="00586439" w:rsidRPr="00586439">
        <w:t xml:space="preserve"> operativas, </w:t>
      </w:r>
      <w:r w:rsidR="00586439">
        <w:t>7</w:t>
      </w:r>
      <w:r w:rsidR="00586439" w:rsidRPr="00586439">
        <w:t xml:space="preserve"> ambientales y una de salud pública. Publicaremos un informe completo que describa </w:t>
      </w:r>
      <w:r w:rsidR="00586439" w:rsidRPr="00586439">
        <w:lastRenderedPageBreak/>
        <w:t xml:space="preserve">el proceso de inclusión y exclusión a principios de 2025. Los detalles sobre las variables de riesgo individuales incluidas en cada categoría de riesgo se pueden encontrar en la </w:t>
      </w:r>
      <w:r w:rsidR="00586439" w:rsidRPr="00586439">
        <w:rPr>
          <w:b/>
          <w:bCs/>
        </w:rPr>
        <w:t>Tabla 1</w:t>
      </w:r>
      <w:r w:rsidR="00586439" w:rsidRPr="00586439">
        <w:t xml:space="preserve"> a continuación.</w:t>
      </w:r>
    </w:p>
    <w:p w14:paraId="58FC6B0F" w14:textId="77777777" w:rsidR="00BE496F" w:rsidRDefault="00BE496F" w:rsidP="00A9494B"/>
    <w:p w14:paraId="38A0AF08" w14:textId="37DD3582" w:rsidR="00842670" w:rsidRPr="00B83BB4" w:rsidRDefault="00B83BB4" w:rsidP="00A9494B">
      <w:pPr>
        <w:rPr>
          <w:b/>
          <w:bCs/>
        </w:rPr>
      </w:pPr>
      <w:r w:rsidRPr="00B83BB4">
        <w:rPr>
          <w:b/>
          <w:bCs/>
        </w:rPr>
        <w:t>Tabl</w:t>
      </w:r>
      <w:r w:rsidR="00586439">
        <w:rPr>
          <w:b/>
          <w:bCs/>
        </w:rPr>
        <w:t>a</w:t>
      </w:r>
      <w:r w:rsidRPr="00B83BB4">
        <w:rPr>
          <w:b/>
          <w:bCs/>
        </w:rPr>
        <w:t xml:space="preserve"> 1: </w:t>
      </w:r>
      <w:r w:rsidR="00586439" w:rsidRPr="00586439">
        <w:t xml:space="preserve">Variables de </w:t>
      </w:r>
      <w:r w:rsidR="00586439">
        <w:t>E</w:t>
      </w:r>
      <w:r w:rsidR="00586439" w:rsidRPr="00586439">
        <w:t xml:space="preserve">valuación de </w:t>
      </w:r>
      <w:r w:rsidR="00586439">
        <w:t>R</w:t>
      </w:r>
      <w:r w:rsidR="00586439" w:rsidRPr="00586439">
        <w:t xml:space="preserve">iesgos </w:t>
      </w:r>
      <w:r w:rsidR="00586439">
        <w:t>P</w:t>
      </w:r>
      <w:r w:rsidR="00586439" w:rsidRPr="00586439">
        <w:t>ropuestas</w:t>
      </w:r>
      <w:r w:rsidRPr="00B83BB4">
        <w:t>.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160"/>
        <w:gridCol w:w="2880"/>
        <w:gridCol w:w="5760"/>
      </w:tblGrid>
      <w:tr w:rsidR="0087350F" w14:paraId="35285247" w14:textId="1E38BECF" w:rsidTr="00762D70">
        <w:tc>
          <w:tcPr>
            <w:tcW w:w="2160" w:type="dxa"/>
            <w:shd w:val="clear" w:color="auto" w:fill="156082" w:themeFill="accent1"/>
          </w:tcPr>
          <w:p w14:paraId="6224E014" w14:textId="6895EBD4" w:rsidR="0087350F" w:rsidRPr="0087350F" w:rsidRDefault="00586439" w:rsidP="00A9494B">
            <w:pPr>
              <w:rPr>
                <w:color w:val="FFFFFF" w:themeColor="background1"/>
              </w:rPr>
            </w:pPr>
            <w:r w:rsidRPr="00586439">
              <w:rPr>
                <w:color w:val="FFFFFF" w:themeColor="background1"/>
              </w:rPr>
              <w:t xml:space="preserve">Categoría de </w:t>
            </w:r>
            <w:r>
              <w:rPr>
                <w:color w:val="FFFFFF" w:themeColor="background1"/>
              </w:rPr>
              <w:t>R</w:t>
            </w:r>
            <w:r w:rsidRPr="00586439">
              <w:rPr>
                <w:color w:val="FFFFFF" w:themeColor="background1"/>
              </w:rPr>
              <w:t>iesgo</w:t>
            </w:r>
          </w:p>
        </w:tc>
        <w:tc>
          <w:tcPr>
            <w:tcW w:w="2880" w:type="dxa"/>
            <w:shd w:val="clear" w:color="auto" w:fill="156082" w:themeFill="accent1"/>
          </w:tcPr>
          <w:p w14:paraId="3BB54BC3" w14:textId="228CD8D4" w:rsidR="0087350F" w:rsidRPr="0087350F" w:rsidRDefault="3A9052B0" w:rsidP="00A9494B">
            <w:pPr>
              <w:rPr>
                <w:color w:val="FFFFFF" w:themeColor="background1"/>
              </w:rPr>
            </w:pPr>
            <w:r w:rsidRPr="3A9052B0">
              <w:rPr>
                <w:color w:val="FFFFFF" w:themeColor="background1"/>
              </w:rPr>
              <w:t>Variable</w:t>
            </w:r>
          </w:p>
        </w:tc>
        <w:tc>
          <w:tcPr>
            <w:tcW w:w="5760" w:type="dxa"/>
            <w:shd w:val="clear" w:color="auto" w:fill="156082" w:themeFill="accent1"/>
          </w:tcPr>
          <w:p w14:paraId="01FCCB6B" w14:textId="35061119" w:rsidR="0087350F" w:rsidRPr="0087350F" w:rsidRDefault="00586439" w:rsidP="00A9494B">
            <w:pPr>
              <w:rPr>
                <w:color w:val="FFFFFF" w:themeColor="background1"/>
              </w:rPr>
            </w:pPr>
            <w:r w:rsidRPr="00586439">
              <w:rPr>
                <w:color w:val="FFFFFF" w:themeColor="background1"/>
              </w:rPr>
              <w:t>Descripción</w:t>
            </w:r>
          </w:p>
        </w:tc>
      </w:tr>
      <w:tr w:rsidR="00BA3ED5" w14:paraId="7493459E" w14:textId="5A146E88" w:rsidTr="00762D70">
        <w:tc>
          <w:tcPr>
            <w:tcW w:w="2160" w:type="dxa"/>
            <w:vMerge w:val="restart"/>
            <w:shd w:val="clear" w:color="auto" w:fill="DAE9F7" w:themeFill="text2" w:themeFillTint="1A"/>
          </w:tcPr>
          <w:p w14:paraId="32CB1A9F" w14:textId="77777777" w:rsidR="00BA3ED5" w:rsidRDefault="00BA3ED5" w:rsidP="0087350F">
            <w:pPr>
              <w:jc w:val="center"/>
            </w:pPr>
          </w:p>
          <w:p w14:paraId="4534EB90" w14:textId="699F398C" w:rsidR="00BA3ED5" w:rsidRPr="0087350F" w:rsidRDefault="00586439" w:rsidP="000D5586">
            <w:pPr>
              <w:jc w:val="center"/>
              <w:rPr>
                <w:b/>
                <w:bCs/>
              </w:rPr>
            </w:pPr>
            <w:r w:rsidRPr="00586439">
              <w:rPr>
                <w:b/>
                <w:bCs/>
              </w:rPr>
              <w:t>Socioeconómica</w:t>
            </w:r>
          </w:p>
          <w:p w14:paraId="66E950D9" w14:textId="5F6CC318" w:rsidR="00BA3ED5" w:rsidRPr="0087350F" w:rsidRDefault="00BA3ED5" w:rsidP="00A9494B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1E6E604C" w14:textId="618EAA88" w:rsidR="00A74584" w:rsidRDefault="00586439" w:rsidP="00BA3ED5">
            <w:r w:rsidRPr="00586439">
              <w:t xml:space="preserve">Carga </w:t>
            </w:r>
            <w:r>
              <w:t>S</w:t>
            </w:r>
            <w:r w:rsidRPr="00586439">
              <w:t xml:space="preserve">ocioeconómica del </w:t>
            </w:r>
            <w:r>
              <w:t>H</w:t>
            </w:r>
            <w:r w:rsidRPr="00586439">
              <w:t>ogar</w:t>
            </w:r>
          </w:p>
          <w:p w14:paraId="0A47BBB3" w14:textId="77777777" w:rsidR="00A74584" w:rsidRDefault="00A74584" w:rsidP="00BA3ED5"/>
          <w:p w14:paraId="62536C73" w14:textId="77777777" w:rsidR="00A74584" w:rsidRDefault="00A74584" w:rsidP="00BA3ED5"/>
          <w:p w14:paraId="230852C2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1FCF739E" w14:textId="1AD2C626" w:rsidR="00A74584" w:rsidRPr="00B83BB4" w:rsidRDefault="00A74584" w:rsidP="00BA3ED5">
            <w:pPr>
              <w:rPr>
                <w:i/>
                <w:iCs/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C2249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C2249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C2249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5CE14D1F" w14:textId="64AF855F" w:rsidR="00BA3ED5" w:rsidRDefault="00586439" w:rsidP="00A9494B">
            <w:r w:rsidRPr="00586439">
              <w:t>Mide la prevalencia de la pobreza y la carga de la vivienda utilizando un punt</w:t>
            </w:r>
            <w:r w:rsidR="00136E08">
              <w:t>aje</w:t>
            </w:r>
            <w:r w:rsidRPr="00586439">
              <w:t xml:space="preserve"> compuest</w:t>
            </w:r>
            <w:r w:rsidR="00136E08">
              <w:t>o</w:t>
            </w:r>
            <w:r>
              <w:t>.</w:t>
            </w:r>
            <w:r w:rsidR="00BA3ED5" w:rsidRPr="00BA3ED5">
              <w:t xml:space="preserve"> </w:t>
            </w:r>
            <w:r w:rsidR="00136E08" w:rsidRPr="00136E08">
              <w:t>Las comunidades con altos niveles de pobreza y altos costos de vivienda pueden tener dificultades para pagar las mejoras, el mantenimiento y el funcionamiento necesarios de los sistemas e instalaciones de aguas residuales.</w:t>
            </w:r>
          </w:p>
        </w:tc>
      </w:tr>
      <w:tr w:rsidR="00BA3ED5" w14:paraId="0F2F4359" w14:textId="4A587674" w:rsidTr="00762D70">
        <w:tc>
          <w:tcPr>
            <w:tcW w:w="2160" w:type="dxa"/>
            <w:vMerge/>
          </w:tcPr>
          <w:p w14:paraId="50E2BAB4" w14:textId="406A330A" w:rsidR="00BA3ED5" w:rsidRDefault="00BA3ED5" w:rsidP="00A9494B"/>
        </w:tc>
        <w:tc>
          <w:tcPr>
            <w:tcW w:w="2880" w:type="dxa"/>
          </w:tcPr>
          <w:p w14:paraId="71641DEC" w14:textId="32C06549" w:rsidR="00BA3ED5" w:rsidRDefault="00136E08" w:rsidP="00BA3ED5">
            <w:r w:rsidRPr="00136E08">
              <w:t xml:space="preserve">Plomería </w:t>
            </w:r>
            <w:r>
              <w:t>I</w:t>
            </w:r>
            <w:r w:rsidRPr="00136E08">
              <w:t>ncompleta</w:t>
            </w:r>
          </w:p>
          <w:p w14:paraId="3A781AD5" w14:textId="77777777" w:rsidR="00A74584" w:rsidRDefault="00A74584" w:rsidP="00BA3ED5"/>
          <w:p w14:paraId="19B349E8" w14:textId="77777777" w:rsidR="00A74584" w:rsidRDefault="00A74584" w:rsidP="00BA3ED5"/>
          <w:p w14:paraId="09314ADA" w14:textId="77777777" w:rsidR="00A74584" w:rsidRDefault="00A74584" w:rsidP="00BA3ED5"/>
          <w:p w14:paraId="2521726B" w14:textId="51715680" w:rsidR="00A74584" w:rsidRPr="00B83BB4" w:rsidRDefault="00A74584" w:rsidP="00BA3ED5">
            <w:pPr>
              <w:rPr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EC511F6" w14:textId="2F9AF9B0" w:rsidR="00BA3ED5" w:rsidRDefault="00136E08" w:rsidP="00A9494B">
            <w:r w:rsidRPr="00136E08">
              <w:t>Identifica el número de unidades de vivienda ocupadas que carecen de instalaciones sanitarias completas.</w:t>
            </w:r>
            <w:r w:rsidR="00BA3ED5" w:rsidRPr="00BA3ED5">
              <w:t xml:space="preserve"> </w:t>
            </w:r>
            <w:r w:rsidRPr="00136E08">
              <w:t>La falta de instalaciones sanitarias completas puede indicar una calidad deficiente de la vivienda y desafíos para defender el derecho humano al saneamiento.</w:t>
            </w:r>
          </w:p>
        </w:tc>
      </w:tr>
      <w:tr w:rsidR="00BA3ED5" w14:paraId="3BC6C1CF" w14:textId="294EF1B2" w:rsidTr="00762D70">
        <w:tc>
          <w:tcPr>
            <w:tcW w:w="2160" w:type="dxa"/>
            <w:vMerge/>
          </w:tcPr>
          <w:p w14:paraId="233763F5" w14:textId="4E2F416A" w:rsidR="00BA3ED5" w:rsidRDefault="00BA3ED5" w:rsidP="00A9494B"/>
        </w:tc>
        <w:tc>
          <w:tcPr>
            <w:tcW w:w="2880" w:type="dxa"/>
          </w:tcPr>
          <w:p w14:paraId="5733E895" w14:textId="6E3D60D2" w:rsidR="00BA3ED5" w:rsidRDefault="00783C25" w:rsidP="00BA3ED5">
            <w:r w:rsidRPr="00783C25">
              <w:t xml:space="preserve">Condición de comunidad </w:t>
            </w:r>
            <w:r>
              <w:t>en desventaja (</w:t>
            </w:r>
            <w:r w:rsidR="00BA3ED5" w:rsidRPr="00BA3ED5">
              <w:t>Disadvantaged Community</w:t>
            </w:r>
            <w:r w:rsidR="002C5B15">
              <w:t>,</w:t>
            </w:r>
            <w:r w:rsidR="00BA3ED5" w:rsidRPr="00BA3ED5">
              <w:t xml:space="preserve"> DAC)</w:t>
            </w:r>
          </w:p>
          <w:p w14:paraId="0DBA5087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1F027171" w14:textId="614A9D61" w:rsidR="00B83BB4" w:rsidRPr="00B83BB4" w:rsidRDefault="00B83BB4" w:rsidP="00BA3ED5">
            <w:pPr>
              <w:rPr>
                <w:sz w:val="18"/>
                <w:szCs w:val="18"/>
              </w:rPr>
            </w:pPr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549AFFA5" w14:textId="651179C2" w:rsidR="00BA3ED5" w:rsidRPr="00895962" w:rsidRDefault="002C5B15" w:rsidP="00A9494B">
            <w:r w:rsidRPr="002C5B15">
              <w:t>Identifica cuándo el ingreso familiar promedio de una comunidad es igual o inferior al 80 por ciento del MHI estatal (80 % del MHI estatal = $73 524 según la Encuesta de hogares de 2022</w:t>
            </w:r>
            <w:r>
              <w:t>, ACS</w:t>
            </w:r>
            <w:r w:rsidRPr="002C5B15">
              <w:t>)</w:t>
            </w:r>
            <w:r w:rsidR="00BA3ED5" w:rsidRPr="00895962">
              <w:t>.</w:t>
            </w:r>
          </w:p>
        </w:tc>
      </w:tr>
      <w:tr w:rsidR="00BA3ED5" w14:paraId="4E3E7253" w14:textId="77777777" w:rsidTr="00762D70">
        <w:tc>
          <w:tcPr>
            <w:tcW w:w="2160" w:type="dxa"/>
            <w:vMerge/>
          </w:tcPr>
          <w:p w14:paraId="4392413A" w14:textId="5A601535" w:rsidR="00BA3ED5" w:rsidRDefault="00BA3ED5" w:rsidP="00A9494B"/>
        </w:tc>
        <w:tc>
          <w:tcPr>
            <w:tcW w:w="2880" w:type="dxa"/>
          </w:tcPr>
          <w:p w14:paraId="34144CDF" w14:textId="0A959AD8" w:rsidR="00BA3ED5" w:rsidRDefault="002C5B15" w:rsidP="00BA3ED5">
            <w:r w:rsidRPr="002C5B15">
              <w:t xml:space="preserve">Condición de comunidad </w:t>
            </w:r>
            <w:r>
              <w:t xml:space="preserve">severamente </w:t>
            </w:r>
            <w:r w:rsidRPr="002C5B15">
              <w:t xml:space="preserve">en desventaja </w:t>
            </w:r>
            <w:r>
              <w:t>(</w:t>
            </w:r>
            <w:r w:rsidR="00BA3ED5" w:rsidRPr="00BA3ED5">
              <w:t>Severely Disadvantaged Community</w:t>
            </w:r>
            <w:r>
              <w:t xml:space="preserve">, </w:t>
            </w:r>
            <w:r w:rsidR="00BA3ED5" w:rsidRPr="00BA3ED5">
              <w:t>SDAC)</w:t>
            </w:r>
          </w:p>
          <w:p w14:paraId="22AE7BDE" w14:textId="77777777" w:rsidR="0086151F" w:rsidRDefault="0086151F" w:rsidP="00BA3ED5">
            <w:pPr>
              <w:rPr>
                <w:i/>
                <w:iCs/>
                <w:sz w:val="18"/>
                <w:szCs w:val="18"/>
              </w:rPr>
            </w:pPr>
          </w:p>
          <w:p w14:paraId="5CDD1C98" w14:textId="068475F9" w:rsidR="00B83BB4" w:rsidRDefault="00B83BB4" w:rsidP="00BA3ED5"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363776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363776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363776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99EDAD9" w14:textId="079F0050" w:rsidR="00BA3ED5" w:rsidRPr="00895962" w:rsidRDefault="00AA04CF" w:rsidP="00A9494B">
            <w:r w:rsidRPr="00AA04CF">
              <w:t xml:space="preserve">Identifica cuándo el ingreso familiar promedio de una comunidad es igual o inferior al 60 por ciento del MHI estatal (60 % del MHI estatal = $55 143 según la Encuesta de </w:t>
            </w:r>
            <w:r>
              <w:t xml:space="preserve">hogares </w:t>
            </w:r>
            <w:r w:rsidRPr="00AA04CF">
              <w:t>de 2022</w:t>
            </w:r>
            <w:r>
              <w:t>, ACS</w:t>
            </w:r>
            <w:r w:rsidRPr="00AA04CF">
              <w:t>).</w:t>
            </w:r>
          </w:p>
        </w:tc>
      </w:tr>
      <w:tr w:rsidR="00BA3ED5" w14:paraId="4BB55D9C" w14:textId="77777777" w:rsidTr="00762D70">
        <w:tc>
          <w:tcPr>
            <w:tcW w:w="2160" w:type="dxa"/>
            <w:vMerge/>
          </w:tcPr>
          <w:p w14:paraId="69940EF9" w14:textId="0F33230B" w:rsidR="00BA3ED5" w:rsidRDefault="00BA3ED5" w:rsidP="00A9494B"/>
        </w:tc>
        <w:tc>
          <w:tcPr>
            <w:tcW w:w="2880" w:type="dxa"/>
          </w:tcPr>
          <w:p w14:paraId="530F3261" w14:textId="2C05AC5B" w:rsidR="00BA3ED5" w:rsidRDefault="00AA04CF" w:rsidP="00BA3ED5">
            <w:r w:rsidRPr="00AA04CF">
              <w:t>Raza/Etnicidad</w:t>
            </w:r>
          </w:p>
          <w:p w14:paraId="451F20D0" w14:textId="77777777" w:rsidR="00EC6754" w:rsidRDefault="00EC6754" w:rsidP="00BA3ED5"/>
          <w:p w14:paraId="21EB3D79" w14:textId="77777777" w:rsidR="00EC6754" w:rsidRDefault="00EC6754" w:rsidP="00BA3ED5"/>
          <w:p w14:paraId="5C345CC4" w14:textId="77777777" w:rsidR="00EC6754" w:rsidRDefault="00EC6754" w:rsidP="00BA3ED5"/>
          <w:p w14:paraId="72F9B997" w14:textId="77777777" w:rsidR="00EC6754" w:rsidRDefault="00EC6754" w:rsidP="00BA3ED5"/>
          <w:p w14:paraId="700F4936" w14:textId="65A5CE19" w:rsidR="00EC6754" w:rsidRPr="00BA3ED5" w:rsidRDefault="00EC6754" w:rsidP="00BA3ED5">
            <w:r w:rsidRPr="00B83BB4">
              <w:rPr>
                <w:i/>
                <w:iCs/>
                <w:sz w:val="18"/>
                <w:szCs w:val="18"/>
              </w:rPr>
              <w:t>(N</w:t>
            </w:r>
            <w:r w:rsidR="00826E8D"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 w:rsidR="00826E8D"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 w:rsidR="00826E8D"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57885E5" w14:textId="0CE73CD5" w:rsidR="00BA3ED5" w:rsidRPr="00BA3ED5" w:rsidRDefault="00AA04CF" w:rsidP="00A9494B">
            <w:r w:rsidRPr="00AA04CF">
              <w:t>La composición racial y étnica de la comunidad a la que sirve un sistema e instalación de aguas residuales</w:t>
            </w:r>
            <w:r w:rsidR="00BA3ED5" w:rsidRPr="00BA3ED5">
              <w:t xml:space="preserve">. </w:t>
            </w:r>
            <w:r w:rsidRPr="00AA04CF">
              <w:t>Las personas y comunidades históricamente marginadas tienen una probabilidad desproporcionada de carecer de acceso a agua potable y saneamiento.</w:t>
            </w:r>
          </w:p>
        </w:tc>
      </w:tr>
      <w:tr w:rsidR="005F686C" w14:paraId="5F3192B6" w14:textId="594E4FCE" w:rsidTr="00762D70">
        <w:tc>
          <w:tcPr>
            <w:tcW w:w="2160" w:type="dxa"/>
            <w:vMerge w:val="restart"/>
            <w:shd w:val="clear" w:color="auto" w:fill="F2CEED" w:themeFill="accent5" w:themeFillTint="33"/>
          </w:tcPr>
          <w:p w14:paraId="1C426A93" w14:textId="77777777" w:rsidR="005F686C" w:rsidRDefault="005F686C" w:rsidP="000D5586">
            <w:pPr>
              <w:jc w:val="center"/>
              <w:rPr>
                <w:b/>
                <w:bCs/>
              </w:rPr>
            </w:pPr>
          </w:p>
          <w:p w14:paraId="53060029" w14:textId="38F8AAFA" w:rsidR="005F686C" w:rsidRPr="00BA3ED5" w:rsidRDefault="005F686C" w:rsidP="000D5586">
            <w:pPr>
              <w:jc w:val="center"/>
              <w:rPr>
                <w:b/>
                <w:bCs/>
              </w:rPr>
            </w:pPr>
            <w:r w:rsidRPr="00BA3ED5">
              <w:rPr>
                <w:b/>
                <w:bCs/>
              </w:rPr>
              <w:t>Opera</w:t>
            </w:r>
            <w:r w:rsidR="00AA04CF">
              <w:rPr>
                <w:b/>
                <w:bCs/>
              </w:rPr>
              <w:t>c</w:t>
            </w:r>
            <w:r w:rsidRPr="00BA3ED5">
              <w:rPr>
                <w:b/>
                <w:bCs/>
              </w:rPr>
              <w:t>ional</w:t>
            </w:r>
          </w:p>
        </w:tc>
        <w:tc>
          <w:tcPr>
            <w:tcW w:w="2880" w:type="dxa"/>
          </w:tcPr>
          <w:p w14:paraId="3E5E93F0" w14:textId="0F5D0DC8" w:rsidR="005F686C" w:rsidRDefault="00AA04CF" w:rsidP="00A9494B">
            <w:r w:rsidRPr="00AA04CF">
              <w:t xml:space="preserve">Gastos de </w:t>
            </w:r>
            <w:r>
              <w:t>C</w:t>
            </w:r>
            <w:r w:rsidRPr="00AA04CF">
              <w:t xml:space="preserve">apital </w:t>
            </w:r>
            <w:r>
              <w:t>A</w:t>
            </w:r>
            <w:r w:rsidRPr="00AA04CF">
              <w:t xml:space="preserve">nuales </w:t>
            </w:r>
            <w:r>
              <w:t>R</w:t>
            </w:r>
            <w:r w:rsidRPr="00AA04CF">
              <w:t>elativos</w:t>
            </w:r>
          </w:p>
          <w:p w14:paraId="33C8E882" w14:textId="77777777" w:rsidR="005F686C" w:rsidRDefault="005F686C" w:rsidP="00A9494B"/>
          <w:p w14:paraId="5428013B" w14:textId="77777777" w:rsidR="005F686C" w:rsidRDefault="005F686C" w:rsidP="00A9494B"/>
          <w:p w14:paraId="2840F632" w14:textId="513A2356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C587D23" w14:textId="41110668" w:rsidR="005F686C" w:rsidRDefault="00AA04CF" w:rsidP="00A9494B">
            <w:r w:rsidRPr="00AA04CF">
              <w:t>Fondos gastados en la adquisición, mejora o mantenimiento de activos físicos e infraestructura, como la construcción, expansión o mejora de sistemas e instalaciones de aguas residuales en relación con el tamaño del sistema.</w:t>
            </w:r>
          </w:p>
        </w:tc>
      </w:tr>
      <w:tr w:rsidR="005F686C" w14:paraId="194A6AF4" w14:textId="77777777" w:rsidTr="00762D70">
        <w:tc>
          <w:tcPr>
            <w:tcW w:w="2160" w:type="dxa"/>
            <w:vMerge/>
          </w:tcPr>
          <w:p w14:paraId="288CA621" w14:textId="77777777" w:rsidR="005F686C" w:rsidRDefault="005F686C" w:rsidP="00A9494B"/>
        </w:tc>
        <w:tc>
          <w:tcPr>
            <w:tcW w:w="2880" w:type="dxa"/>
          </w:tcPr>
          <w:p w14:paraId="01C43571" w14:textId="3202B726" w:rsidR="005F686C" w:rsidRDefault="00AA04CF" w:rsidP="00A9494B">
            <w:r w:rsidRPr="00AA04CF">
              <w:t>Presupuesto relativo de operación y mantenimiento</w:t>
            </w:r>
          </w:p>
          <w:p w14:paraId="03A5332D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36CE1808" w14:textId="115BA3BD" w:rsidR="005F686C" w:rsidRDefault="005F686C" w:rsidP="00A9494B"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B7CAECB" w14:textId="2AE3355B" w:rsidR="005F686C" w:rsidRDefault="00AA04CF" w:rsidP="00A9494B">
            <w:r w:rsidRPr="00AA04CF">
              <w:t>Presupuestos que cubran los costos asociados con la operación, el mantenimiento y la gestión de los sistemas e instalaciones de aguas residuales en relación con el tamaño del sistema.</w:t>
            </w:r>
          </w:p>
        </w:tc>
      </w:tr>
      <w:tr w:rsidR="005F686C" w14:paraId="178E1516" w14:textId="77777777" w:rsidTr="00762D70">
        <w:tc>
          <w:tcPr>
            <w:tcW w:w="2160" w:type="dxa"/>
            <w:vMerge/>
          </w:tcPr>
          <w:p w14:paraId="6029043D" w14:textId="77777777" w:rsidR="005F686C" w:rsidRDefault="005F686C" w:rsidP="00A9494B"/>
        </w:tc>
        <w:tc>
          <w:tcPr>
            <w:tcW w:w="2880" w:type="dxa"/>
          </w:tcPr>
          <w:p w14:paraId="125E3FF2" w14:textId="1697EA33" w:rsidR="005F686C" w:rsidRDefault="005F686C" w:rsidP="00A9494B">
            <w:r>
              <w:t xml:space="preserve">&lt;15% </w:t>
            </w:r>
            <w:r w:rsidR="00AA04CF" w:rsidRPr="00AA04CF">
              <w:t>del sistema se limpia anualmente</w:t>
            </w:r>
          </w:p>
          <w:p w14:paraId="397727A4" w14:textId="77777777" w:rsidR="005F686C" w:rsidRDefault="005F686C" w:rsidP="00A9494B"/>
          <w:p w14:paraId="20948124" w14:textId="42775A12" w:rsidR="005F686C" w:rsidRDefault="005F686C" w:rsidP="00A9494B">
            <w:r w:rsidRPr="00B83BB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7C2AF88C" w14:textId="24362FCD" w:rsidR="005F686C" w:rsidRDefault="00AA04CF" w:rsidP="00A9494B">
            <w:r w:rsidRPr="00AA04CF">
              <w:lastRenderedPageBreak/>
              <w:t>Indica un mantenimiento inadecuado del sistema, con riesgo de ineficiencia o falla del sistema.</w:t>
            </w:r>
            <w:r w:rsidR="005F686C">
              <w:t xml:space="preserve"> </w:t>
            </w:r>
          </w:p>
        </w:tc>
      </w:tr>
      <w:tr w:rsidR="005F686C" w14:paraId="2B94B50B" w14:textId="77777777" w:rsidTr="00762D70">
        <w:tc>
          <w:tcPr>
            <w:tcW w:w="2160" w:type="dxa"/>
            <w:vMerge/>
          </w:tcPr>
          <w:p w14:paraId="64B4A3E7" w14:textId="77777777" w:rsidR="005F686C" w:rsidRDefault="005F686C" w:rsidP="00A9494B"/>
        </w:tc>
        <w:tc>
          <w:tcPr>
            <w:tcW w:w="2880" w:type="dxa"/>
          </w:tcPr>
          <w:p w14:paraId="48DE32D8" w14:textId="087F55C8" w:rsidR="005F686C" w:rsidRDefault="005F686C" w:rsidP="00A9494B">
            <w:r>
              <w:t xml:space="preserve">&lt;10% </w:t>
            </w:r>
            <w:r w:rsidR="00AA04CF" w:rsidRPr="00AA04CF">
              <w:t xml:space="preserve">del sistema se inspecciona anualmente con circuito cerrado de televisión </w:t>
            </w:r>
            <w:r>
              <w:t xml:space="preserve">(CCTV) </w:t>
            </w:r>
          </w:p>
          <w:p w14:paraId="0C5DC736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0100B19C" w14:textId="1497540B" w:rsidR="005F686C" w:rsidRDefault="005F686C" w:rsidP="00A9494B">
            <w:r>
              <w:rPr>
                <w:i/>
                <w:iCs/>
                <w:sz w:val="18"/>
                <w:szCs w:val="18"/>
              </w:rPr>
              <w:t>(</w:t>
            </w:r>
            <w:r w:rsidRPr="00B83BB4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12AA553D" w14:textId="2493120E" w:rsidR="005F686C" w:rsidRDefault="00AA04CF" w:rsidP="00A9494B">
            <w:r w:rsidRPr="00AA04CF">
              <w:t>Indica prácticas de inspección inadecuadas, lo que aumenta la probabilidad de problemas no detectados y reduce la confiabilidad del sistema.</w:t>
            </w:r>
            <w:r w:rsidR="005F686C">
              <w:t xml:space="preserve"> </w:t>
            </w:r>
          </w:p>
        </w:tc>
      </w:tr>
      <w:tr w:rsidR="005F686C" w14:paraId="6D229963" w14:textId="77777777" w:rsidTr="00762D70">
        <w:tc>
          <w:tcPr>
            <w:tcW w:w="2160" w:type="dxa"/>
            <w:vMerge/>
          </w:tcPr>
          <w:p w14:paraId="35026D30" w14:textId="77777777" w:rsidR="005F686C" w:rsidRDefault="005F686C" w:rsidP="00A9494B"/>
        </w:tc>
        <w:tc>
          <w:tcPr>
            <w:tcW w:w="2880" w:type="dxa"/>
          </w:tcPr>
          <w:p w14:paraId="6D8BA808" w14:textId="17A1FB49" w:rsidR="005F686C" w:rsidRDefault="00AA04CF" w:rsidP="00A9494B">
            <w:r w:rsidRPr="00AA04CF">
              <w:t xml:space="preserve">Capacidad </w:t>
            </w:r>
            <w:r>
              <w:t>R</w:t>
            </w:r>
            <w:r w:rsidRPr="00AA04CF">
              <w:t xml:space="preserve">elativa del </w:t>
            </w:r>
            <w:r>
              <w:t>S</w:t>
            </w:r>
            <w:r w:rsidRPr="00AA04CF">
              <w:t>istema</w:t>
            </w:r>
          </w:p>
          <w:p w14:paraId="323C60E6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3923A7D6" w14:textId="73A8EA96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7EA9353" w14:textId="52B2189E" w:rsidR="005F686C" w:rsidRDefault="00AA04CF" w:rsidP="00A9494B">
            <w:r w:rsidRPr="00AA04CF">
              <w:t>La capacidad de flujo diseñada de un sistema en relación con el número total de personas atendidas por el sistema.</w:t>
            </w:r>
            <w:r w:rsidR="005F686C">
              <w:t xml:space="preserve"> </w:t>
            </w:r>
          </w:p>
        </w:tc>
      </w:tr>
      <w:tr w:rsidR="005F686C" w14:paraId="2A0DF512" w14:textId="77777777" w:rsidTr="00762D70">
        <w:tc>
          <w:tcPr>
            <w:tcW w:w="2160" w:type="dxa"/>
            <w:vMerge/>
          </w:tcPr>
          <w:p w14:paraId="34121592" w14:textId="77777777" w:rsidR="005F686C" w:rsidRDefault="005F686C" w:rsidP="00A9494B"/>
        </w:tc>
        <w:tc>
          <w:tcPr>
            <w:tcW w:w="2880" w:type="dxa"/>
          </w:tcPr>
          <w:p w14:paraId="6EA2E191" w14:textId="6EDCB96E" w:rsidR="005F686C" w:rsidRDefault="005C6CAA" w:rsidP="00A9494B">
            <w:r>
              <w:t>&gt;</w:t>
            </w:r>
            <w:r w:rsidR="005F686C">
              <w:t xml:space="preserve"> 40% </w:t>
            </w:r>
            <w:r w:rsidRPr="005C6CAA">
              <w:t>del sistema es anterior a 1950</w:t>
            </w:r>
          </w:p>
          <w:p w14:paraId="00A1D46C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34D2646C" w14:textId="376A7CFF" w:rsidR="005F686C" w:rsidRPr="00BA3ED5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EC6754">
              <w:rPr>
                <w:i/>
                <w:iCs/>
                <w:sz w:val="18"/>
                <w:szCs w:val="18"/>
              </w:rPr>
              <w:t>(S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66349AC" w14:textId="0D85C5F6" w:rsidR="005F686C" w:rsidRDefault="005C6CAA" w:rsidP="00A9494B">
            <w:r w:rsidRPr="005C6CAA">
              <w:t>Es más probable que el sistema experimente fallas estructurales, problemas de capacidad y mayor mantenimiento.</w:t>
            </w:r>
            <w:r w:rsidR="005F686C">
              <w:t xml:space="preserve"> </w:t>
            </w:r>
          </w:p>
        </w:tc>
      </w:tr>
      <w:tr w:rsidR="005F686C" w14:paraId="75D4E741" w14:textId="77777777" w:rsidTr="00762D70">
        <w:tc>
          <w:tcPr>
            <w:tcW w:w="2160" w:type="dxa"/>
            <w:vMerge/>
          </w:tcPr>
          <w:p w14:paraId="27275CAE" w14:textId="77777777" w:rsidR="005F686C" w:rsidRDefault="005F686C" w:rsidP="00A9494B"/>
        </w:tc>
        <w:tc>
          <w:tcPr>
            <w:tcW w:w="2880" w:type="dxa"/>
          </w:tcPr>
          <w:p w14:paraId="797A0002" w14:textId="7830248B" w:rsidR="005F686C" w:rsidRDefault="005C6CAA" w:rsidP="00A9494B">
            <w:r w:rsidRPr="005C6CAA">
              <w:t xml:space="preserve">Gobernanza del </w:t>
            </w:r>
            <w:r>
              <w:t>S</w:t>
            </w:r>
            <w:r w:rsidRPr="005C6CAA">
              <w:t>istema</w:t>
            </w:r>
          </w:p>
          <w:p w14:paraId="10DEECF2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2C1B445F" w14:textId="0E0FD805" w:rsidR="005F686C" w:rsidRPr="00BA3ED5" w:rsidRDefault="005F686C" w:rsidP="00A9494B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D1ABD17" w14:textId="4A85F2E8" w:rsidR="005F686C" w:rsidRDefault="005C6CAA" w:rsidP="00A9494B">
            <w:r w:rsidRPr="005C6CAA">
              <w:t>La entidad que supervisa la operación y el mantenimiento de un sistema e instalación de aguas residuales.</w:t>
            </w:r>
          </w:p>
        </w:tc>
      </w:tr>
      <w:tr w:rsidR="005F686C" w14:paraId="4DAF14CF" w14:textId="77777777" w:rsidTr="00762D70">
        <w:tc>
          <w:tcPr>
            <w:tcW w:w="2160" w:type="dxa"/>
            <w:vMerge/>
          </w:tcPr>
          <w:p w14:paraId="203B1FE3" w14:textId="77777777" w:rsidR="005F686C" w:rsidRDefault="005F686C" w:rsidP="00A9494B"/>
        </w:tc>
        <w:tc>
          <w:tcPr>
            <w:tcW w:w="2880" w:type="dxa"/>
          </w:tcPr>
          <w:p w14:paraId="42C1E73B" w14:textId="11F33496" w:rsidR="005F686C" w:rsidRDefault="005C6CAA" w:rsidP="00A9494B">
            <w:pPr>
              <w:rPr>
                <w:i/>
                <w:iCs/>
                <w:sz w:val="18"/>
                <w:szCs w:val="18"/>
              </w:rPr>
            </w:pPr>
            <w:r w:rsidRPr="005C6CAA">
              <w:t xml:space="preserve">Certificación del </w:t>
            </w:r>
            <w:r>
              <w:t>O</w:t>
            </w:r>
            <w:r w:rsidRPr="005C6CAA">
              <w:t>perador</w:t>
            </w:r>
          </w:p>
          <w:p w14:paraId="22246933" w14:textId="77777777" w:rsidR="0086151F" w:rsidRDefault="0086151F" w:rsidP="00A9494B">
            <w:pPr>
              <w:rPr>
                <w:i/>
                <w:iCs/>
                <w:sz w:val="18"/>
                <w:szCs w:val="18"/>
              </w:rPr>
            </w:pPr>
          </w:p>
          <w:p w14:paraId="17430FB3" w14:textId="515E1A51" w:rsidR="005F686C" w:rsidRPr="00BA3ED5" w:rsidRDefault="005F686C" w:rsidP="00A9494B">
            <w:r w:rsidRPr="00EC6754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NPDES, WDR, </w:t>
            </w:r>
            <w:r w:rsidRPr="00EC6754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EC675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2BDFD67" w14:textId="5E18A58B" w:rsidR="005F686C" w:rsidRDefault="005C6CAA" w:rsidP="00A9494B">
            <w:r w:rsidRPr="005C6CAA">
              <w:t>Medidas si un operador certificado está presente en una instalación de tratamiento de aguas residuales y, de ser así, si la certificación es suficiente para el sistema y la instalación de aguas residuales</w:t>
            </w:r>
            <w:r w:rsidR="005F686C">
              <w:t>.</w:t>
            </w:r>
          </w:p>
        </w:tc>
      </w:tr>
      <w:tr w:rsidR="005F686C" w14:paraId="5EBBA09B" w14:textId="77777777" w:rsidTr="00762D70">
        <w:tc>
          <w:tcPr>
            <w:tcW w:w="2160" w:type="dxa"/>
            <w:vMerge/>
          </w:tcPr>
          <w:p w14:paraId="4DB1A8A0" w14:textId="77777777" w:rsidR="005F686C" w:rsidRDefault="005F686C" w:rsidP="00A9494B"/>
        </w:tc>
        <w:tc>
          <w:tcPr>
            <w:tcW w:w="2880" w:type="dxa"/>
          </w:tcPr>
          <w:p w14:paraId="130BCAC6" w14:textId="43624027" w:rsidR="005F686C" w:rsidRDefault="005C6CAA" w:rsidP="00A9494B">
            <w:r w:rsidRPr="005C6CAA">
              <w:t>Futuras adiciones a los límites permi</w:t>
            </w:r>
            <w:r>
              <w:t>tid</w:t>
            </w:r>
            <w:r w:rsidRPr="005C6CAA">
              <w:t>os</w:t>
            </w:r>
            <w:r w:rsidR="005F686C" w:rsidRPr="00BA3ED5">
              <w:t xml:space="preserve"> </w:t>
            </w:r>
          </w:p>
          <w:p w14:paraId="249C4652" w14:textId="77777777" w:rsidR="005F686C" w:rsidRDefault="005F686C" w:rsidP="00A9494B"/>
          <w:p w14:paraId="069D41E1" w14:textId="77777777" w:rsidR="005F686C" w:rsidRDefault="005F686C" w:rsidP="00A9494B"/>
          <w:p w14:paraId="6DCCE3D2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6B419E72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339EEA8A" w14:textId="4F686BA8" w:rsidR="005F686C" w:rsidRPr="00EC6754" w:rsidRDefault="005F686C" w:rsidP="00A9494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(NPDES)</w:t>
            </w:r>
          </w:p>
        </w:tc>
        <w:tc>
          <w:tcPr>
            <w:tcW w:w="5760" w:type="dxa"/>
          </w:tcPr>
          <w:p w14:paraId="72987B35" w14:textId="135B3EC1" w:rsidR="005F686C" w:rsidRPr="00E22554" w:rsidRDefault="005C6CAA" w:rsidP="00A9494B">
            <w:r w:rsidRPr="005C6CAA">
              <w:rPr>
                <w:rFonts w:cs="Helvetica Neue"/>
                <w:color w:val="000000"/>
                <w:kern w:val="0"/>
              </w:rPr>
              <w:t>Los sistemas e instalaciones de aguas residuales autorizados por el NPDES generalmente siguen estándares de tratamiento secundario.</w:t>
            </w:r>
            <w:r>
              <w:rPr>
                <w:rFonts w:cs="Helvetica Neue"/>
                <w:color w:val="000000"/>
                <w:kern w:val="0"/>
              </w:rPr>
              <w:t xml:space="preserve"> </w:t>
            </w:r>
            <w:r w:rsidRPr="005C6CAA">
              <w:rPr>
                <w:rFonts w:cs="Helvetica Neue"/>
                <w:color w:val="000000"/>
                <w:kern w:val="0"/>
              </w:rPr>
              <w:t>Sin embargo, las instalaciones que descargan en cuerpos de agua deteriorados o dominados por efluentes con usos beneficiosos deben cumplir con estándares de tratamiento terciario y pueden enfrentar límites más estrictos en el futuro.</w:t>
            </w:r>
          </w:p>
        </w:tc>
      </w:tr>
      <w:tr w:rsidR="005F686C" w14:paraId="71A43AAD" w14:textId="77777777" w:rsidTr="00762D70">
        <w:tc>
          <w:tcPr>
            <w:tcW w:w="2160" w:type="dxa"/>
            <w:vMerge/>
          </w:tcPr>
          <w:p w14:paraId="31D57F7D" w14:textId="77777777" w:rsidR="005F686C" w:rsidRDefault="005F686C" w:rsidP="00A9494B"/>
        </w:tc>
        <w:tc>
          <w:tcPr>
            <w:tcW w:w="2880" w:type="dxa"/>
          </w:tcPr>
          <w:p w14:paraId="3782285C" w14:textId="35FD9C86" w:rsidR="005F686C" w:rsidRDefault="005C6CAA" w:rsidP="00A9494B">
            <w:r w:rsidRPr="005C6CAA">
              <w:t>Flujo de diseño vs. Flujo real</w:t>
            </w:r>
          </w:p>
          <w:p w14:paraId="6D132E6D" w14:textId="77777777" w:rsidR="005F686C" w:rsidRDefault="005F686C" w:rsidP="00A9494B">
            <w:pPr>
              <w:rPr>
                <w:i/>
                <w:iCs/>
                <w:sz w:val="18"/>
                <w:szCs w:val="18"/>
              </w:rPr>
            </w:pPr>
          </w:p>
          <w:p w14:paraId="6688A55D" w14:textId="6272E6F5" w:rsidR="005F686C" w:rsidRPr="00DC5A98" w:rsidRDefault="005F686C" w:rsidP="00A9494B">
            <w:pPr>
              <w:rPr>
                <w:i/>
                <w:iCs/>
                <w:sz w:val="18"/>
                <w:szCs w:val="18"/>
              </w:rPr>
            </w:pPr>
            <w:r w:rsidRPr="00DC5A98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DC5A98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DC5A98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DC5A9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33CE184" w14:textId="4E06F4D6" w:rsidR="005F686C" w:rsidRPr="007E2E6F" w:rsidRDefault="005C6CAA" w:rsidP="00A9494B">
            <w:r w:rsidRPr="005C6CAA">
              <w:t>Mide el volumen de caudal máximo que un sistema y una instalación de aguas residuales están diseñados para procesar en comparación con la cantidad que el sistema realmente procesa. Identifica sistemas sobrecargados</w:t>
            </w:r>
            <w:r w:rsidR="005F686C">
              <w:t xml:space="preserve">. </w:t>
            </w:r>
          </w:p>
        </w:tc>
      </w:tr>
      <w:tr w:rsidR="005F686C" w14:paraId="36B2EF20" w14:textId="77777777" w:rsidTr="00762D70">
        <w:tc>
          <w:tcPr>
            <w:tcW w:w="2160" w:type="dxa"/>
            <w:vMerge/>
          </w:tcPr>
          <w:p w14:paraId="08F38C57" w14:textId="77777777" w:rsidR="005F686C" w:rsidRDefault="005F686C" w:rsidP="005F686C"/>
        </w:tc>
        <w:tc>
          <w:tcPr>
            <w:tcW w:w="2880" w:type="dxa"/>
          </w:tcPr>
          <w:p w14:paraId="033049AD" w14:textId="1AC4020D" w:rsidR="005F686C" w:rsidRDefault="005C6CAA" w:rsidP="005F686C">
            <w:r w:rsidRPr="005C6CAA">
              <w:t>Despoblación</w:t>
            </w:r>
          </w:p>
          <w:p w14:paraId="6E872792" w14:textId="77777777" w:rsidR="005F686C" w:rsidRDefault="005F686C" w:rsidP="005F686C"/>
          <w:p w14:paraId="5205EEF2" w14:textId="77777777" w:rsidR="005F686C" w:rsidRDefault="005F686C" w:rsidP="005F686C"/>
          <w:p w14:paraId="48ACA1D7" w14:textId="77777777" w:rsidR="005F686C" w:rsidRDefault="005F686C" w:rsidP="005F686C"/>
          <w:p w14:paraId="025B8A2D" w14:textId="21C98C79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CD0860A" w14:textId="0D6A9CE1" w:rsidR="005F686C" w:rsidRDefault="005C6CAA" w:rsidP="005F686C">
            <w:r w:rsidRPr="005C6CAA">
              <w:t>Mide la disminución de la población en áreas servidas por un sistema e instalación de aguas residuales.</w:t>
            </w:r>
            <w:r w:rsidR="005F686C">
              <w:t xml:space="preserve"> </w:t>
            </w:r>
            <w:r w:rsidRPr="005C6CAA">
              <w:t>Una base de clientes reducida puede generar dificultades para cubrir los costos fijos de mantenimiento y actualizaciones.</w:t>
            </w:r>
          </w:p>
        </w:tc>
      </w:tr>
      <w:tr w:rsidR="005F686C" w14:paraId="37E117B5" w14:textId="77777777" w:rsidTr="00762D70">
        <w:tc>
          <w:tcPr>
            <w:tcW w:w="2160" w:type="dxa"/>
            <w:vMerge/>
          </w:tcPr>
          <w:p w14:paraId="64ADE913" w14:textId="77777777" w:rsidR="005F686C" w:rsidRDefault="005F686C" w:rsidP="005F686C"/>
        </w:tc>
        <w:tc>
          <w:tcPr>
            <w:tcW w:w="2880" w:type="dxa"/>
          </w:tcPr>
          <w:p w14:paraId="5518CC7D" w14:textId="1B3244F2" w:rsidR="005F686C" w:rsidRDefault="005C6CAA" w:rsidP="005F686C">
            <w:r w:rsidRPr="005C6CAA">
              <w:t xml:space="preserve">Crecimiento de la </w:t>
            </w:r>
            <w:r>
              <w:t>P</w:t>
            </w:r>
            <w:r w:rsidRPr="005C6CAA">
              <w:t>oblación</w:t>
            </w:r>
          </w:p>
          <w:p w14:paraId="3369BFA3" w14:textId="77777777" w:rsidR="005F686C" w:rsidRDefault="005F686C" w:rsidP="005F686C"/>
          <w:p w14:paraId="7AE99D17" w14:textId="77777777" w:rsidR="005F686C" w:rsidRDefault="005F686C" w:rsidP="005F686C"/>
          <w:p w14:paraId="6F3C6321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7ED358B6" w14:textId="7AB3D8DA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CFF4404" w14:textId="1D4735DA" w:rsidR="005F686C" w:rsidRDefault="005C6CAA" w:rsidP="005F686C">
            <w:r w:rsidRPr="005C6CAA">
              <w:t>El aumento de la población atendida por un sistema e instalación de aguas residuales</w:t>
            </w:r>
            <w:r w:rsidR="005F686C" w:rsidRPr="00BA3ED5">
              <w:t>.</w:t>
            </w:r>
            <w:r w:rsidR="005F686C">
              <w:t xml:space="preserve"> </w:t>
            </w:r>
            <w:r w:rsidR="00483745" w:rsidRPr="00483745">
              <w:t>El rápido crecimiento demográfico puede provocar sobrecarga hidráulica y limitaciones operativas</w:t>
            </w:r>
            <w:r w:rsidR="00483745">
              <w:t>.</w:t>
            </w:r>
          </w:p>
        </w:tc>
      </w:tr>
      <w:tr w:rsidR="005F686C" w14:paraId="05C2021F" w14:textId="59C55F63" w:rsidTr="00762D70">
        <w:tc>
          <w:tcPr>
            <w:tcW w:w="2160" w:type="dxa"/>
            <w:vMerge w:val="restart"/>
            <w:shd w:val="clear" w:color="auto" w:fill="FFFCCB"/>
          </w:tcPr>
          <w:p w14:paraId="6C7BF928" w14:textId="77777777" w:rsidR="005F686C" w:rsidRDefault="005F686C" w:rsidP="005F686C"/>
          <w:p w14:paraId="0BD632F3" w14:textId="4FB9F371" w:rsidR="005F686C" w:rsidRPr="00BA3ED5" w:rsidRDefault="00483745" w:rsidP="005F686C">
            <w:pPr>
              <w:jc w:val="center"/>
              <w:rPr>
                <w:b/>
                <w:bCs/>
              </w:rPr>
            </w:pPr>
            <w:r w:rsidRPr="00483745">
              <w:rPr>
                <w:b/>
                <w:bCs/>
              </w:rPr>
              <w:t>Ambiental</w:t>
            </w:r>
          </w:p>
        </w:tc>
        <w:tc>
          <w:tcPr>
            <w:tcW w:w="2880" w:type="dxa"/>
          </w:tcPr>
          <w:p w14:paraId="7399F421" w14:textId="540801F1" w:rsidR="005F686C" w:rsidRDefault="00483745" w:rsidP="005F686C">
            <w:r w:rsidRPr="00483745">
              <w:t>Aumento de casos de excedencia cercana a la descarga</w:t>
            </w:r>
          </w:p>
          <w:p w14:paraId="5E8B41B7" w14:textId="77777777" w:rsidR="0086151F" w:rsidRDefault="0086151F" w:rsidP="005F686C">
            <w:pPr>
              <w:rPr>
                <w:sz w:val="18"/>
                <w:szCs w:val="18"/>
              </w:rPr>
            </w:pPr>
          </w:p>
          <w:p w14:paraId="336D5E28" w14:textId="70894E3C" w:rsidR="005F686C" w:rsidRPr="00EC6754" w:rsidRDefault="005F686C" w:rsidP="005F686C">
            <w:pPr>
              <w:rPr>
                <w:sz w:val="18"/>
                <w:szCs w:val="18"/>
              </w:rPr>
            </w:pPr>
            <w:r w:rsidRPr="00EC6754">
              <w:rPr>
                <w:sz w:val="18"/>
                <w:szCs w:val="18"/>
              </w:rPr>
              <w:lastRenderedPageBreak/>
              <w:t>(N</w:t>
            </w:r>
            <w:r>
              <w:rPr>
                <w:sz w:val="18"/>
                <w:szCs w:val="18"/>
              </w:rPr>
              <w:t>PDES</w:t>
            </w:r>
            <w:r w:rsidRPr="00EC6754">
              <w:rPr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03E9313C" w14:textId="28C87D5B" w:rsidR="005F686C" w:rsidRDefault="00483745" w:rsidP="005F686C">
            <w:r w:rsidRPr="00483745">
              <w:lastRenderedPageBreak/>
              <w:t xml:space="preserve">Tendencias de los sistemas e instalaciones de aguas residuales que pueden estar acercándose a sus límites para elementos prioritarios como el flujo permitido, la </w:t>
            </w:r>
            <w:r>
              <w:lastRenderedPageBreak/>
              <w:t>BOD</w:t>
            </w:r>
            <w:r w:rsidRPr="00483745">
              <w:t xml:space="preserve"> y la carga de nutrientes, y cualquier contaminante local preocupante.</w:t>
            </w:r>
          </w:p>
        </w:tc>
      </w:tr>
      <w:tr w:rsidR="005F686C" w14:paraId="30C55444" w14:textId="77777777" w:rsidTr="00762D70">
        <w:tc>
          <w:tcPr>
            <w:tcW w:w="2160" w:type="dxa"/>
            <w:vMerge/>
          </w:tcPr>
          <w:p w14:paraId="6777C531" w14:textId="77777777" w:rsidR="005F686C" w:rsidRDefault="005F686C" w:rsidP="005F686C"/>
        </w:tc>
        <w:tc>
          <w:tcPr>
            <w:tcW w:w="2880" w:type="dxa"/>
          </w:tcPr>
          <w:p w14:paraId="7F23736B" w14:textId="224BC3D4" w:rsidR="0086151F" w:rsidRDefault="00483745" w:rsidP="005F686C">
            <w:r w:rsidRPr="00483745">
              <w:t xml:space="preserve">Descarga a </w:t>
            </w:r>
            <w:r>
              <w:t>C</w:t>
            </w:r>
            <w:r w:rsidRPr="00483745">
              <w:t xml:space="preserve">uerpos de </w:t>
            </w:r>
            <w:r>
              <w:t>A</w:t>
            </w:r>
            <w:r w:rsidRPr="00483745">
              <w:t xml:space="preserve">gua </w:t>
            </w:r>
            <w:r>
              <w:t>D</w:t>
            </w:r>
            <w:r w:rsidRPr="00483745">
              <w:t>eteriorados</w:t>
            </w:r>
          </w:p>
          <w:p w14:paraId="090C4D13" w14:textId="77777777" w:rsidR="00483745" w:rsidRDefault="00483745" w:rsidP="005F686C"/>
          <w:p w14:paraId="78D4CBDA" w14:textId="194C1662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C2DBFDB" w14:textId="4441A81B" w:rsidR="00466BD2" w:rsidRPr="00466BD2" w:rsidRDefault="00483745" w:rsidP="00466BD2">
            <w:r w:rsidRPr="00483745">
              <w:t>Identifica sistemas que pueden tener requisitos de descarga adicionales</w:t>
            </w:r>
            <w:r w:rsidR="00466BD2" w:rsidRPr="00466BD2">
              <w:t>.</w:t>
            </w:r>
          </w:p>
          <w:p w14:paraId="169D6F59" w14:textId="731949B6" w:rsidR="005F686C" w:rsidRDefault="005F686C" w:rsidP="005F686C"/>
        </w:tc>
      </w:tr>
      <w:tr w:rsidR="005F686C" w14:paraId="425D8AF5" w14:textId="77777777" w:rsidTr="00762D70">
        <w:tc>
          <w:tcPr>
            <w:tcW w:w="2160" w:type="dxa"/>
            <w:vMerge/>
          </w:tcPr>
          <w:p w14:paraId="5CFFB586" w14:textId="77777777" w:rsidR="005F686C" w:rsidRDefault="005F686C" w:rsidP="005F686C"/>
        </w:tc>
        <w:tc>
          <w:tcPr>
            <w:tcW w:w="2880" w:type="dxa"/>
          </w:tcPr>
          <w:p w14:paraId="02FCD50F" w14:textId="47AE922A" w:rsidR="005F686C" w:rsidRDefault="00483745" w:rsidP="005F686C">
            <w:r w:rsidRPr="00483745">
              <w:t>Sequía</w:t>
            </w:r>
            <w:r w:rsidR="005F686C" w:rsidRPr="00BA3ED5">
              <w:t xml:space="preserve"> </w:t>
            </w:r>
          </w:p>
          <w:p w14:paraId="1658354D" w14:textId="77777777" w:rsidR="005F686C" w:rsidRDefault="005F686C" w:rsidP="005F686C"/>
          <w:p w14:paraId="6BFB45DF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58E3B3DD" w14:textId="789D969C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2780B7D" w14:textId="76538AD3" w:rsidR="005F686C" w:rsidRDefault="00483745" w:rsidP="005F686C">
            <w:r w:rsidRPr="00483745">
              <w:t>Muestra la ubicación y la intensidad de la sequía en California. La disminución de los caudales de agua puede suponer un riesgo para los sistemas y las instalaciones de aguas residuales</w:t>
            </w:r>
            <w:r w:rsidR="005F686C">
              <w:t xml:space="preserve">. </w:t>
            </w:r>
          </w:p>
        </w:tc>
      </w:tr>
      <w:tr w:rsidR="005F686C" w14:paraId="5ACF1B78" w14:textId="77777777" w:rsidTr="00762D70">
        <w:tc>
          <w:tcPr>
            <w:tcW w:w="2160" w:type="dxa"/>
            <w:vMerge/>
          </w:tcPr>
          <w:p w14:paraId="5A2CB78A" w14:textId="77777777" w:rsidR="005F686C" w:rsidRDefault="005F686C" w:rsidP="005F686C"/>
        </w:tc>
        <w:tc>
          <w:tcPr>
            <w:tcW w:w="2880" w:type="dxa"/>
          </w:tcPr>
          <w:p w14:paraId="433E80B2" w14:textId="59D05B09" w:rsidR="005F686C" w:rsidRDefault="00483745" w:rsidP="005F686C">
            <w:r w:rsidRPr="00483745">
              <w:t>Inundación</w:t>
            </w:r>
          </w:p>
          <w:p w14:paraId="7B4504AE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7E099C1E" w14:textId="77777777" w:rsidR="0086151F" w:rsidRDefault="0086151F" w:rsidP="005F686C">
            <w:pPr>
              <w:rPr>
                <w:i/>
                <w:iCs/>
                <w:sz w:val="18"/>
                <w:szCs w:val="18"/>
              </w:rPr>
            </w:pPr>
          </w:p>
          <w:p w14:paraId="0089FD6E" w14:textId="69E47FD9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48CC25B3" w14:textId="61AC4503" w:rsidR="005F686C" w:rsidRDefault="00483745" w:rsidP="005F686C">
            <w:r w:rsidRPr="00483745">
              <w:t>Mide el riesgo de inundaciones en los sistemas e instalaciones de aguas residuales. Las inundaciones pueden provocar daños en la infraestructura y derivaciones forzadas del tratamiento.</w:t>
            </w:r>
          </w:p>
        </w:tc>
      </w:tr>
      <w:tr w:rsidR="005F686C" w14:paraId="61965CB5" w14:textId="77777777" w:rsidTr="00762D70">
        <w:tc>
          <w:tcPr>
            <w:tcW w:w="2160" w:type="dxa"/>
            <w:vMerge/>
          </w:tcPr>
          <w:p w14:paraId="37B10628" w14:textId="77777777" w:rsidR="005F686C" w:rsidRDefault="005F686C" w:rsidP="005F686C"/>
        </w:tc>
        <w:tc>
          <w:tcPr>
            <w:tcW w:w="2880" w:type="dxa"/>
          </w:tcPr>
          <w:p w14:paraId="79090F08" w14:textId="6859B0A2" w:rsidR="005F686C" w:rsidRDefault="00483745" w:rsidP="005F686C">
            <w:r w:rsidRPr="00483745">
              <w:t xml:space="preserve">Aumento del </w:t>
            </w:r>
            <w:r>
              <w:t>N</w:t>
            </w:r>
            <w:r w:rsidRPr="00483745">
              <w:t xml:space="preserve">ivel del </w:t>
            </w:r>
            <w:r>
              <w:t>M</w:t>
            </w:r>
            <w:r w:rsidRPr="00483745">
              <w:t>ar</w:t>
            </w:r>
          </w:p>
          <w:p w14:paraId="7562A1AD" w14:textId="77777777" w:rsidR="005F686C" w:rsidRDefault="005F686C" w:rsidP="005F686C"/>
          <w:p w14:paraId="572A6370" w14:textId="77777777" w:rsidR="005F686C" w:rsidRDefault="005F686C" w:rsidP="005F686C"/>
          <w:p w14:paraId="0E00B7AD" w14:textId="77777777" w:rsidR="005F686C" w:rsidRDefault="005F686C" w:rsidP="005F686C">
            <w:pPr>
              <w:rPr>
                <w:i/>
                <w:iCs/>
                <w:sz w:val="18"/>
                <w:szCs w:val="18"/>
              </w:rPr>
            </w:pPr>
          </w:p>
          <w:p w14:paraId="1D45FDFB" w14:textId="6353C524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212D4AAC" w14:textId="2C7DBC7A" w:rsidR="005F686C" w:rsidRDefault="00483745" w:rsidP="005F686C">
            <w:r w:rsidRPr="00483745">
              <w:t>Mide el aumento proyectado del nivel del mar. En el caso de los sistemas e instalaciones de aguas residuales costeras, el aumento del nivel del mar puede provocar inundaciones o bloquear los desagües del sistema, entre otros impactos negativos.</w:t>
            </w:r>
            <w:r w:rsidR="005F686C">
              <w:t xml:space="preserve"> </w:t>
            </w:r>
          </w:p>
        </w:tc>
      </w:tr>
      <w:tr w:rsidR="005F686C" w14:paraId="0C98126C" w14:textId="77777777" w:rsidTr="00762D70">
        <w:tc>
          <w:tcPr>
            <w:tcW w:w="2160" w:type="dxa"/>
            <w:vMerge/>
          </w:tcPr>
          <w:p w14:paraId="774FAAE8" w14:textId="77777777" w:rsidR="005F686C" w:rsidRDefault="005F686C" w:rsidP="005F686C"/>
        </w:tc>
        <w:tc>
          <w:tcPr>
            <w:tcW w:w="2880" w:type="dxa"/>
          </w:tcPr>
          <w:p w14:paraId="5B9AC88D" w14:textId="6CEBB89F" w:rsidR="005F686C" w:rsidRDefault="00483745" w:rsidP="005F686C">
            <w:r>
              <w:t xml:space="preserve">Calor </w:t>
            </w:r>
            <w:r w:rsidR="005F686C" w:rsidRPr="00BA3ED5">
              <w:t>Extrem</w:t>
            </w:r>
            <w:r>
              <w:t>o</w:t>
            </w:r>
          </w:p>
          <w:p w14:paraId="6C00ACAC" w14:textId="77777777" w:rsidR="005F686C" w:rsidRDefault="005F686C" w:rsidP="005F686C"/>
          <w:p w14:paraId="562D4DD3" w14:textId="77777777" w:rsidR="005F686C" w:rsidRDefault="005F686C" w:rsidP="005F686C"/>
          <w:p w14:paraId="7A735C65" w14:textId="77777777" w:rsidR="0086151F" w:rsidRDefault="0086151F" w:rsidP="005F686C">
            <w:pPr>
              <w:rPr>
                <w:i/>
                <w:iCs/>
                <w:sz w:val="18"/>
                <w:szCs w:val="18"/>
              </w:rPr>
            </w:pPr>
          </w:p>
          <w:p w14:paraId="465C8A61" w14:textId="51B72781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67358E11" w14:textId="1DCD886C" w:rsidR="005F686C" w:rsidRDefault="00483745" w:rsidP="005F686C">
            <w:r w:rsidRPr="00483745">
              <w:t>Identifica regiones con frecuentes días de calor extremo. Los eventos de calor extremo pueden afectar la capacidad de los sistemas e instalaciones de aguas residuales para eliminar contaminantes de manera eficaz y eficiente.</w:t>
            </w:r>
          </w:p>
        </w:tc>
      </w:tr>
      <w:tr w:rsidR="005F686C" w14:paraId="1A7C0DBF" w14:textId="77777777" w:rsidTr="00762D70">
        <w:tc>
          <w:tcPr>
            <w:tcW w:w="2160" w:type="dxa"/>
            <w:vMerge/>
          </w:tcPr>
          <w:p w14:paraId="2F2A354B" w14:textId="77777777" w:rsidR="005F686C" w:rsidRDefault="005F686C" w:rsidP="005F686C"/>
        </w:tc>
        <w:tc>
          <w:tcPr>
            <w:tcW w:w="2880" w:type="dxa"/>
          </w:tcPr>
          <w:p w14:paraId="6663E4C5" w14:textId="157627D2" w:rsidR="005F686C" w:rsidRDefault="00483745" w:rsidP="005F686C">
            <w:r w:rsidRPr="00483745">
              <w:t>Incendio forestal</w:t>
            </w:r>
          </w:p>
          <w:p w14:paraId="078A3E59" w14:textId="77777777" w:rsidR="005F686C" w:rsidRDefault="005F686C" w:rsidP="005F686C"/>
          <w:p w14:paraId="0E700810" w14:textId="77777777" w:rsidR="005F686C" w:rsidRDefault="005F686C" w:rsidP="005F686C"/>
          <w:p w14:paraId="014B59BD" w14:textId="11C644F2" w:rsidR="005F686C" w:rsidRDefault="005F686C" w:rsidP="005F686C">
            <w:r w:rsidRPr="00B83BB4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</w:t>
            </w:r>
            <w:r w:rsidRPr="00B83BB4">
              <w:rPr>
                <w:i/>
                <w:iCs/>
                <w:sz w:val="18"/>
                <w:szCs w:val="18"/>
              </w:rPr>
              <w:t>, W</w:t>
            </w:r>
            <w:r>
              <w:rPr>
                <w:i/>
                <w:iCs/>
                <w:sz w:val="18"/>
                <w:szCs w:val="18"/>
              </w:rPr>
              <w:t>DR</w:t>
            </w:r>
            <w:r w:rsidRPr="00B83BB4">
              <w:rPr>
                <w:i/>
                <w:iCs/>
                <w:sz w:val="18"/>
                <w:szCs w:val="18"/>
              </w:rPr>
              <w:t>, S</w:t>
            </w:r>
            <w:r>
              <w:rPr>
                <w:i/>
                <w:iCs/>
                <w:sz w:val="18"/>
                <w:szCs w:val="18"/>
              </w:rPr>
              <w:t>SO</w:t>
            </w:r>
            <w:r w:rsidRPr="00B83BB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42BE52D2" w14:textId="2E1AC90B" w:rsidR="005F686C" w:rsidRDefault="00483745" w:rsidP="005F686C">
            <w:r w:rsidRPr="00483745">
              <w:t>Mide la gravedad del riesgo de incendio de un área donde se ubican un sistema y una instalación de aguas residuales. Los incendios forestales pueden dañar la infraestructura de aguas residuales y cambiar los niveles de caudal.</w:t>
            </w:r>
          </w:p>
        </w:tc>
      </w:tr>
      <w:tr w:rsidR="005F686C" w14:paraId="21079BCE" w14:textId="77777777" w:rsidTr="00762D70">
        <w:tc>
          <w:tcPr>
            <w:tcW w:w="2160" w:type="dxa"/>
            <w:shd w:val="clear" w:color="auto" w:fill="D9C6FF"/>
          </w:tcPr>
          <w:p w14:paraId="0D65DC88" w14:textId="6D8A5C31" w:rsidR="005F686C" w:rsidRDefault="00483745" w:rsidP="005F686C">
            <w:r w:rsidRPr="00483745">
              <w:t xml:space="preserve">Salud </w:t>
            </w:r>
            <w:r>
              <w:t>P</w:t>
            </w:r>
            <w:r w:rsidRPr="00483745">
              <w:t>ública</w:t>
            </w:r>
          </w:p>
        </w:tc>
        <w:tc>
          <w:tcPr>
            <w:tcW w:w="2880" w:type="dxa"/>
          </w:tcPr>
          <w:p w14:paraId="0432E58C" w14:textId="7CB51B5E" w:rsidR="005F686C" w:rsidRDefault="00483745" w:rsidP="005F686C">
            <w:r w:rsidRPr="00483745">
              <w:t xml:space="preserve">Constituyentes de la </w:t>
            </w:r>
            <w:r>
              <w:t>P</w:t>
            </w:r>
            <w:r w:rsidRPr="00483745">
              <w:t xml:space="preserve">reocupación </w:t>
            </w:r>
            <w:r>
              <w:t>E</w:t>
            </w:r>
            <w:r w:rsidRPr="00483745">
              <w:t xml:space="preserve">mergente </w:t>
            </w:r>
            <w:r>
              <w:t>(</w:t>
            </w:r>
            <w:r w:rsidR="005F686C" w:rsidRPr="00643864">
              <w:t>Constituents of Emerging Concern</w:t>
            </w:r>
            <w:r>
              <w:t xml:space="preserve">, </w:t>
            </w:r>
            <w:r w:rsidR="005F686C">
              <w:t>CEC)</w:t>
            </w:r>
          </w:p>
          <w:p w14:paraId="3127ECCB" w14:textId="77777777" w:rsidR="005F686C" w:rsidRDefault="005F686C" w:rsidP="005F686C"/>
          <w:p w14:paraId="0A3DB9B9" w14:textId="77777777" w:rsidR="005F686C" w:rsidRDefault="005F686C" w:rsidP="005F686C"/>
          <w:p w14:paraId="17CA029C" w14:textId="2E4574F6" w:rsidR="005F686C" w:rsidRPr="00B5486B" w:rsidRDefault="005F686C" w:rsidP="005F686C">
            <w:pPr>
              <w:rPr>
                <w:i/>
                <w:iCs/>
                <w:sz w:val="18"/>
                <w:szCs w:val="18"/>
              </w:rPr>
            </w:pPr>
            <w:r w:rsidRPr="00B5486B">
              <w:rPr>
                <w:i/>
                <w:iCs/>
                <w:sz w:val="18"/>
                <w:szCs w:val="18"/>
              </w:rPr>
              <w:t>(N</w:t>
            </w:r>
            <w:r>
              <w:rPr>
                <w:i/>
                <w:iCs/>
                <w:sz w:val="18"/>
                <w:szCs w:val="18"/>
              </w:rPr>
              <w:t>PDES, WDR, SSO</w:t>
            </w:r>
            <w:r w:rsidRPr="00B5486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3BD2CCCD" w14:textId="09560C02" w:rsidR="005F686C" w:rsidRPr="00B4363C" w:rsidRDefault="00096B6C" w:rsidP="005F686C">
            <w:pPr>
              <w:rPr>
                <w:color w:val="333333"/>
              </w:rPr>
            </w:pPr>
            <w:r w:rsidRPr="00096B6C">
              <w:rPr>
                <w:color w:val="000000" w:themeColor="text1"/>
              </w:rPr>
              <w:t>Sustancias o materias en ecosistemas acuáticos para las cuales no existen actualmente normas sanitarias aplicables publicadas, la norma se está evaluando o no se comprende bien la toxicología</w:t>
            </w:r>
            <w:r w:rsidR="005F686C" w:rsidRPr="00B4363C">
              <w:rPr>
                <w:color w:val="000000" w:themeColor="text1"/>
                <w:shd w:val="clear" w:color="auto" w:fill="FFFFFF"/>
              </w:rPr>
              <w:t>.</w:t>
            </w:r>
          </w:p>
        </w:tc>
      </w:tr>
    </w:tbl>
    <w:p w14:paraId="67DA59C3" w14:textId="77777777" w:rsidR="00BE496F" w:rsidRDefault="00BE496F" w:rsidP="00EC6754">
      <w:pPr>
        <w:rPr>
          <w:b/>
          <w:bCs/>
        </w:rPr>
      </w:pPr>
    </w:p>
    <w:p w14:paraId="709EAA90" w14:textId="329926C1" w:rsidR="00EC6754" w:rsidRPr="00EC6754" w:rsidRDefault="00EC6754" w:rsidP="00EC6754">
      <w:pPr>
        <w:rPr>
          <w:b/>
          <w:bCs/>
        </w:rPr>
      </w:pPr>
      <w:r>
        <w:rPr>
          <w:b/>
          <w:bCs/>
        </w:rPr>
        <w:t>Tabl</w:t>
      </w:r>
      <w:r w:rsidR="00096B6C">
        <w:rPr>
          <w:b/>
          <w:bCs/>
        </w:rPr>
        <w:t>a</w:t>
      </w:r>
      <w:r>
        <w:rPr>
          <w:b/>
          <w:bCs/>
        </w:rPr>
        <w:t xml:space="preserve"> 1 Le</w:t>
      </w:r>
      <w:r w:rsidR="00096B6C">
        <w:rPr>
          <w:b/>
          <w:bCs/>
        </w:rPr>
        <w:t>y</w:t>
      </w:r>
      <w:r>
        <w:rPr>
          <w:b/>
          <w:bCs/>
        </w:rPr>
        <w:t>end</w:t>
      </w:r>
      <w:r w:rsidR="00096B6C">
        <w:rPr>
          <w:b/>
          <w:bCs/>
        </w:rPr>
        <w:t>a</w:t>
      </w:r>
      <w:r>
        <w:rPr>
          <w:b/>
          <w:bCs/>
        </w:rPr>
        <w:t xml:space="preserve">: </w:t>
      </w:r>
    </w:p>
    <w:p w14:paraId="28567808" w14:textId="5A82025F" w:rsidR="00EC6754" w:rsidRDefault="00EC6754" w:rsidP="00EC6754">
      <w:r>
        <w:t>N</w:t>
      </w:r>
      <w:r w:rsidR="00C22496">
        <w:t xml:space="preserve">PDES </w:t>
      </w:r>
      <w:r>
        <w:t xml:space="preserve">= </w:t>
      </w:r>
      <w:r w:rsidR="00096B6C" w:rsidRPr="00096B6C">
        <w:t xml:space="preserve">Variable de riesgo relevante para instalaciones autorizadas </w:t>
      </w:r>
      <w:r w:rsidR="00096B6C">
        <w:t>bajo permisos de</w:t>
      </w:r>
      <w:r w:rsidR="00096B6C" w:rsidRPr="00096B6C">
        <w:t xml:space="preserve"> NPDES</w:t>
      </w:r>
    </w:p>
    <w:p w14:paraId="6093653B" w14:textId="010DC8D7" w:rsidR="00EC6754" w:rsidRDefault="00EC6754" w:rsidP="00EC6754">
      <w:r>
        <w:t>S</w:t>
      </w:r>
      <w:r w:rsidR="00C22496">
        <w:t xml:space="preserve">SO </w:t>
      </w:r>
      <w:r>
        <w:t xml:space="preserve">= </w:t>
      </w:r>
      <w:r w:rsidR="00096B6C" w:rsidRPr="00096B6C">
        <w:t xml:space="preserve">Variable de riesgo relevante para instalaciones autorizadas </w:t>
      </w:r>
      <w:r w:rsidR="00096B6C">
        <w:t>bajo permisos de</w:t>
      </w:r>
      <w:r w:rsidR="00096B6C" w:rsidRPr="00096B6C">
        <w:t xml:space="preserve"> </w:t>
      </w:r>
      <w:r w:rsidR="00096B6C">
        <w:t>SSO</w:t>
      </w:r>
    </w:p>
    <w:p w14:paraId="21FF6696" w14:textId="3BAAC59F" w:rsidR="00EC6754" w:rsidRDefault="00EC6754" w:rsidP="00EC6754">
      <w:r>
        <w:t>W</w:t>
      </w:r>
      <w:r w:rsidR="00C22496">
        <w:t xml:space="preserve">DR </w:t>
      </w:r>
      <w:r>
        <w:t xml:space="preserve">= </w:t>
      </w:r>
      <w:r w:rsidR="00096B6C" w:rsidRPr="00096B6C">
        <w:t xml:space="preserve">Variable de riesgo relevante para instalaciones autorizadas </w:t>
      </w:r>
      <w:r w:rsidR="00096B6C">
        <w:t>bajo permisos de</w:t>
      </w:r>
      <w:r w:rsidR="00096B6C" w:rsidRPr="00096B6C">
        <w:t xml:space="preserve"> </w:t>
      </w:r>
      <w:r w:rsidR="00096B6C">
        <w:t>WDR</w:t>
      </w:r>
    </w:p>
    <w:p w14:paraId="25ACE1EB" w14:textId="5E0F4170" w:rsidR="00EC6754" w:rsidRDefault="00EC6754" w:rsidP="00EC6754"/>
    <w:p w14:paraId="28907670" w14:textId="77777777" w:rsidR="00EC6754" w:rsidRDefault="00EC6754" w:rsidP="00EC6754"/>
    <w:p w14:paraId="657D9B49" w14:textId="77777777" w:rsidR="00EC6754" w:rsidRDefault="00EC6754" w:rsidP="00EC6754"/>
    <w:p w14:paraId="7F08FBCF" w14:textId="77777777" w:rsidR="00EC6754" w:rsidRPr="00A9494B" w:rsidRDefault="00EC6754" w:rsidP="00A9494B"/>
    <w:sectPr w:rsidR="00EC6754" w:rsidRPr="00A9494B" w:rsidSect="000D5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D613" w14:textId="77777777" w:rsidR="00A927F7" w:rsidRDefault="00A927F7" w:rsidP="008B178D">
      <w:pPr>
        <w:spacing w:after="0" w:line="240" w:lineRule="auto"/>
      </w:pPr>
      <w:r>
        <w:separator/>
      </w:r>
    </w:p>
  </w:endnote>
  <w:endnote w:type="continuationSeparator" w:id="0">
    <w:p w14:paraId="3385F03D" w14:textId="77777777" w:rsidR="00A927F7" w:rsidRDefault="00A927F7" w:rsidP="008B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7742" w14:textId="77777777" w:rsidR="002A0AC5" w:rsidRDefault="002A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2C78E" w14:textId="77777777" w:rsidR="002A0AC5" w:rsidRDefault="002A0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9D31" w14:textId="77777777" w:rsidR="002A0AC5" w:rsidRDefault="002A0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32A2" w14:textId="77777777" w:rsidR="00A927F7" w:rsidRDefault="00A927F7" w:rsidP="008B178D">
      <w:pPr>
        <w:spacing w:after="0" w:line="240" w:lineRule="auto"/>
      </w:pPr>
      <w:r>
        <w:separator/>
      </w:r>
    </w:p>
  </w:footnote>
  <w:footnote w:type="continuationSeparator" w:id="0">
    <w:p w14:paraId="3D8C7E7C" w14:textId="77777777" w:rsidR="00A927F7" w:rsidRDefault="00A927F7" w:rsidP="008B178D">
      <w:pPr>
        <w:spacing w:after="0" w:line="240" w:lineRule="auto"/>
      </w:pPr>
      <w:r>
        <w:continuationSeparator/>
      </w:r>
    </w:p>
  </w:footnote>
  <w:footnote w:id="1">
    <w:p w14:paraId="48A79F6E" w14:textId="6B2EA89B" w:rsidR="008B178D" w:rsidRDefault="008B178D">
      <w:pPr>
        <w:pStyle w:val="FootnoteText"/>
      </w:pPr>
      <w:r>
        <w:rPr>
          <w:rStyle w:val="FootnoteReference"/>
        </w:rPr>
        <w:footnoteRef/>
      </w:r>
      <w:r>
        <w:t>System types included in the WWNA: Public treatment plants – cities and special districts; Private treatment plants serving rural residential settlements, mobile home parks, etc.; Migrant labor camps; RV Parks; Hotels; Prisons and Work/Conservation Camps; Schools and Hospitals.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3649" w14:textId="77777777" w:rsidR="002A0AC5" w:rsidRDefault="002A0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6D7F" w14:textId="4D6658BF" w:rsidR="002A0AC5" w:rsidRDefault="002A0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CEFB" w14:textId="77777777" w:rsidR="002A0AC5" w:rsidRDefault="002A0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6736E"/>
    <w:multiLevelType w:val="hybridMultilevel"/>
    <w:tmpl w:val="96E2CA2A"/>
    <w:lvl w:ilvl="0" w:tplc="A1E2EEB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C3"/>
    <w:rsid w:val="00014829"/>
    <w:rsid w:val="00015D3D"/>
    <w:rsid w:val="00041374"/>
    <w:rsid w:val="00096B6C"/>
    <w:rsid w:val="000D404D"/>
    <w:rsid w:val="000D5586"/>
    <w:rsid w:val="000F19B0"/>
    <w:rsid w:val="000F4090"/>
    <w:rsid w:val="001032DE"/>
    <w:rsid w:val="001244B2"/>
    <w:rsid w:val="00136E08"/>
    <w:rsid w:val="0014671A"/>
    <w:rsid w:val="001534D6"/>
    <w:rsid w:val="001678D6"/>
    <w:rsid w:val="00175B3A"/>
    <w:rsid w:val="00183AEF"/>
    <w:rsid w:val="001868CB"/>
    <w:rsid w:val="001A0C55"/>
    <w:rsid w:val="001A1100"/>
    <w:rsid w:val="00200C59"/>
    <w:rsid w:val="00205B46"/>
    <w:rsid w:val="00294A01"/>
    <w:rsid w:val="002A0AC5"/>
    <w:rsid w:val="002A2D24"/>
    <w:rsid w:val="002B375C"/>
    <w:rsid w:val="002B73D1"/>
    <w:rsid w:val="002C5B15"/>
    <w:rsid w:val="002F363D"/>
    <w:rsid w:val="00313853"/>
    <w:rsid w:val="00327E2C"/>
    <w:rsid w:val="003318DD"/>
    <w:rsid w:val="003349DA"/>
    <w:rsid w:val="00336B42"/>
    <w:rsid w:val="00350503"/>
    <w:rsid w:val="00363776"/>
    <w:rsid w:val="0036782C"/>
    <w:rsid w:val="003C1351"/>
    <w:rsid w:val="00442FF2"/>
    <w:rsid w:val="00466BD2"/>
    <w:rsid w:val="004738F6"/>
    <w:rsid w:val="004771AE"/>
    <w:rsid w:val="00483745"/>
    <w:rsid w:val="004A7BDC"/>
    <w:rsid w:val="004B0E57"/>
    <w:rsid w:val="004D08FE"/>
    <w:rsid w:val="0050563B"/>
    <w:rsid w:val="00522E04"/>
    <w:rsid w:val="005456C9"/>
    <w:rsid w:val="0058414F"/>
    <w:rsid w:val="00586439"/>
    <w:rsid w:val="005A047C"/>
    <w:rsid w:val="005C1072"/>
    <w:rsid w:val="005C6CAA"/>
    <w:rsid w:val="005E03E1"/>
    <w:rsid w:val="005F686C"/>
    <w:rsid w:val="00622498"/>
    <w:rsid w:val="0062734B"/>
    <w:rsid w:val="00643864"/>
    <w:rsid w:val="00647329"/>
    <w:rsid w:val="006806A1"/>
    <w:rsid w:val="00680DB9"/>
    <w:rsid w:val="006C1000"/>
    <w:rsid w:val="006C1058"/>
    <w:rsid w:val="006E7C3B"/>
    <w:rsid w:val="00715D3F"/>
    <w:rsid w:val="007628A7"/>
    <w:rsid w:val="00762D70"/>
    <w:rsid w:val="00765DED"/>
    <w:rsid w:val="00783C25"/>
    <w:rsid w:val="007D4A5F"/>
    <w:rsid w:val="007E2E6F"/>
    <w:rsid w:val="007E4BAC"/>
    <w:rsid w:val="007F5459"/>
    <w:rsid w:val="00812703"/>
    <w:rsid w:val="00826E8D"/>
    <w:rsid w:val="00842670"/>
    <w:rsid w:val="00842F37"/>
    <w:rsid w:val="0086151F"/>
    <w:rsid w:val="00861573"/>
    <w:rsid w:val="00865EBC"/>
    <w:rsid w:val="00870C16"/>
    <w:rsid w:val="0087350F"/>
    <w:rsid w:val="00895962"/>
    <w:rsid w:val="008B178D"/>
    <w:rsid w:val="008B60FF"/>
    <w:rsid w:val="008F3EB4"/>
    <w:rsid w:val="008F60F3"/>
    <w:rsid w:val="00902A39"/>
    <w:rsid w:val="009133ED"/>
    <w:rsid w:val="00943413"/>
    <w:rsid w:val="00944383"/>
    <w:rsid w:val="00963BC4"/>
    <w:rsid w:val="009B0CAC"/>
    <w:rsid w:val="00A15953"/>
    <w:rsid w:val="00A465DD"/>
    <w:rsid w:val="00A5730B"/>
    <w:rsid w:val="00A625DD"/>
    <w:rsid w:val="00A74584"/>
    <w:rsid w:val="00A927F7"/>
    <w:rsid w:val="00A9494B"/>
    <w:rsid w:val="00A95ABE"/>
    <w:rsid w:val="00AA04CF"/>
    <w:rsid w:val="00AD4504"/>
    <w:rsid w:val="00AF3FC0"/>
    <w:rsid w:val="00B11B67"/>
    <w:rsid w:val="00B423FC"/>
    <w:rsid w:val="00B4363C"/>
    <w:rsid w:val="00B465C2"/>
    <w:rsid w:val="00B5486B"/>
    <w:rsid w:val="00B83BB4"/>
    <w:rsid w:val="00BA3ED5"/>
    <w:rsid w:val="00BE496F"/>
    <w:rsid w:val="00C1548E"/>
    <w:rsid w:val="00C21EE0"/>
    <w:rsid w:val="00C22496"/>
    <w:rsid w:val="00C44C3A"/>
    <w:rsid w:val="00C7393D"/>
    <w:rsid w:val="00CA5AA4"/>
    <w:rsid w:val="00CA68F2"/>
    <w:rsid w:val="00D119BA"/>
    <w:rsid w:val="00D33024"/>
    <w:rsid w:val="00D60A9F"/>
    <w:rsid w:val="00D726C8"/>
    <w:rsid w:val="00D7536C"/>
    <w:rsid w:val="00D84557"/>
    <w:rsid w:val="00DC5A98"/>
    <w:rsid w:val="00DF766E"/>
    <w:rsid w:val="00E1287F"/>
    <w:rsid w:val="00E14BCC"/>
    <w:rsid w:val="00E22554"/>
    <w:rsid w:val="00E525C3"/>
    <w:rsid w:val="00E760E4"/>
    <w:rsid w:val="00E93D5D"/>
    <w:rsid w:val="00E94D4E"/>
    <w:rsid w:val="00EB573C"/>
    <w:rsid w:val="00EC63D1"/>
    <w:rsid w:val="00EC6754"/>
    <w:rsid w:val="00F12CEE"/>
    <w:rsid w:val="00F17FF4"/>
    <w:rsid w:val="00F82E96"/>
    <w:rsid w:val="00F96E14"/>
    <w:rsid w:val="00FB3B96"/>
    <w:rsid w:val="00FB4CBC"/>
    <w:rsid w:val="00FD09BA"/>
    <w:rsid w:val="00FE4246"/>
    <w:rsid w:val="2E43A255"/>
    <w:rsid w:val="3A90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A52EF"/>
  <w15:chartTrackingRefBased/>
  <w15:docId w15:val="{D1E14694-982B-4DBD-AD5C-D1FC142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29"/>
  </w:style>
  <w:style w:type="paragraph" w:styleId="Heading1">
    <w:name w:val="heading 1"/>
    <w:basedOn w:val="Normal"/>
    <w:next w:val="Normal"/>
    <w:link w:val="Heading1Char"/>
    <w:uiPriority w:val="9"/>
    <w:qFormat/>
    <w:rsid w:val="00E5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5C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A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38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57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3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78D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B17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C5"/>
  </w:style>
  <w:style w:type="paragraph" w:styleId="Footer">
    <w:name w:val="footer"/>
    <w:basedOn w:val="Normal"/>
    <w:link w:val="FooterChar"/>
    <w:uiPriority w:val="99"/>
    <w:unhideWhenUsed/>
    <w:rsid w:val="002A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AFB7-7D94-430B-BA2E-28DF6EE0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Grace</dc:creator>
  <cp:keywords/>
  <dc:description/>
  <cp:lastModifiedBy>Hernandez, Ariana</cp:lastModifiedBy>
  <cp:revision>12</cp:revision>
  <dcterms:created xsi:type="dcterms:W3CDTF">2025-01-08T22:37:00Z</dcterms:created>
  <dcterms:modified xsi:type="dcterms:W3CDTF">2025-01-23T16:44:00Z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9e0e9ecb2c83d360e07bc70e32c695d757a7fde2a0b101dabb9673791620f871</vt:lpwstr>
  </property>
</Properties>
</file>